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07AC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sz w:val="24"/>
          <w:szCs w:val="24"/>
          <w:highlight w:val="none"/>
          <w:lang w:val="en-US" w:eastAsia="zh-CN"/>
        </w:rPr>
        <w:t>附件1：</w:t>
      </w:r>
    </w:p>
    <w:p w14:paraId="519A368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申报指南</w:t>
      </w:r>
    </w:p>
    <w:p w14:paraId="073675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一、通识教育课程体系介绍</w:t>
      </w:r>
    </w:p>
    <w:p w14:paraId="6ECC4A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我校通识教育以促进学生的</w:t>
      </w: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自由而全面发展</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为目标，以</w:t>
      </w: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思维教育</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为导向，注重培养学生的形象思维和逻辑思维、激发批判性思维和创造性思维，使所有学生具备基本的科学技术和人文艺术素养。</w:t>
      </w:r>
    </w:p>
    <w:p w14:paraId="3A95ED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面对当今人类社会所面临的新问题和新挑战，基于对通识教育理念的理解，我校对通识教育课程体系进行重构，推出“</w:t>
      </w: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少而精、博而通、超越单纯知识点传授，以思维训练为特色</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”的升级版课程体系，整个体系犹如金字塔型：</w:t>
      </w:r>
    </w:p>
    <w:p w14:paraId="2CF9F84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“人类思维与学科史论”课程群</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位于塔尖，旨在让学生跨越学科界限，引导学科交叉融合，从不同学科的历史发展中汲取“思维自由”的养分。</w:t>
      </w:r>
    </w:p>
    <w:p w14:paraId="725C197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“经典阅读”课程群</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位于第二层，旨在通过与各类经典所代表的“人类伟大智慧”对话，引领学生吸收人类文明的营养，促进学生科学精神、人文素养、道德修养、思辨能力、审美水平等方面的全面发展。</w:t>
      </w:r>
    </w:p>
    <w:p w14:paraId="2275F04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模块课程群</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位于第三层，以保证所有学生均具备基本的科学技术-人文艺术素养，包括众多培养素质、思维和能力，符合通识规范的课程，强调思维能力、问题意识和解决问题的能力等方面的训练。</w:t>
      </w:r>
    </w:p>
    <w:p w14:paraId="07F40EA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4445000" cy="3385820"/>
            <wp:effectExtent l="0" t="0" r="1270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4445000" cy="3385820"/>
                    </a:xfrm>
                    <a:prstGeom prst="rect">
                      <a:avLst/>
                    </a:prstGeom>
                    <a:noFill/>
                    <a:ln>
                      <a:noFill/>
                    </a:ln>
                  </pic:spPr>
                </pic:pic>
              </a:graphicData>
            </a:graphic>
          </wp:inline>
        </w:drawing>
      </w:r>
    </w:p>
    <w:p w14:paraId="1E1263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二、通识课程建设通用要求</w:t>
      </w:r>
    </w:p>
    <w:p w14:paraId="7A21046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（一）课程目标</w:t>
      </w:r>
    </w:p>
    <w:p w14:paraId="4D8F82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符合学校对于通识教育的定位，以立德树人为根本，以促进学生自由而全面的发展为目标，超越单纯的知识传授层次，注重思维训练，有利于“明德乐群、基础扎实、身心健康、国际视野、反思探究、持续发展”核心素养的达成。</w:t>
      </w:r>
    </w:p>
    <w:p w14:paraId="347F77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2.注重培养学生的形象思维和逻辑思维，激发学生的批判性思维和创造性思维。在逻辑思维中，关注辩证逻辑和形式逻辑的均衡培养。</w:t>
      </w:r>
    </w:p>
    <w:p w14:paraId="01F845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.对不同专业的学生普遍适用，充分考虑学生的已有基础，不以预先修习专业知识为前提。</w:t>
      </w:r>
    </w:p>
    <w:p w14:paraId="0A47D2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.使用具体、可测量的术语来精确描绘学生通过课程学习应获得的知识、能力、思维、素质，以便测评。</w:t>
      </w:r>
    </w:p>
    <w:p w14:paraId="19B8E1F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（二）课程内容</w:t>
      </w:r>
    </w:p>
    <w:p w14:paraId="07DB74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1.与教学目标相对应，具有一定的深度和广度，有助于目标的达成。</w:t>
      </w:r>
    </w:p>
    <w:p w14:paraId="7B51DC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2.体现内在的逻辑关系，理论联系实际、重难点突出。</w:t>
      </w:r>
    </w:p>
    <w:p w14:paraId="4EC4F8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3.体现基本性，有利于学生了解人类文明进程中最基本的知识和方法。</w:t>
      </w:r>
    </w:p>
    <w:p w14:paraId="2A3FF0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4.体现整合性，有利于不同学科领域知识的融会和贯通，体现文理渗透、多学科融合、跨学科交叉，以提供学生</w:t>
      </w:r>
      <w:r>
        <w:rPr>
          <w:rFonts w:hint="eastAsia" w:ascii="宋体" w:hAnsi="宋体" w:eastAsia="宋体" w:cs="宋体"/>
          <w:color w:val="000000" w:themeColor="text1"/>
          <w:sz w:val="24"/>
          <w:szCs w:val="24"/>
          <w:highlight w:val="none"/>
          <w:lang w:val="en-US" w:eastAsia="zh-CN"/>
          <w14:textFill>
            <w14:solidFill>
              <w14:schemeClr w14:val="tx1"/>
            </w14:solidFill>
          </w14:textFill>
        </w:rPr>
        <w:t>发现问题、</w:t>
      </w:r>
      <w:r>
        <w:rPr>
          <w:rFonts w:hint="eastAsia" w:ascii="宋体" w:hAnsi="宋体" w:eastAsia="宋体" w:cs="宋体"/>
          <w:color w:val="000000" w:themeColor="text1"/>
          <w:sz w:val="24"/>
          <w:szCs w:val="24"/>
          <w:highlight w:val="none"/>
          <w14:textFill>
            <w14:solidFill>
              <w14:schemeClr w14:val="tx1"/>
            </w14:solidFill>
          </w14:textFill>
        </w:rPr>
        <w:t>分析问题、解决问题的多元视野和多维角度。</w:t>
      </w:r>
    </w:p>
    <w:p w14:paraId="26BEED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5.具有前沿性、时代性，尽可能反映学科</w:t>
      </w:r>
      <w:r>
        <w:rPr>
          <w:rFonts w:hint="eastAsia" w:ascii="宋体" w:hAnsi="宋体" w:eastAsia="宋体" w:cs="宋体"/>
          <w:color w:val="000000" w:themeColor="text1"/>
          <w:sz w:val="24"/>
          <w:szCs w:val="24"/>
          <w:highlight w:val="none"/>
          <w:lang w:val="en-US" w:eastAsia="zh-CN"/>
          <w14:textFill>
            <w14:solidFill>
              <w14:schemeClr w14:val="tx1"/>
            </w14:solidFill>
          </w14:textFill>
        </w:rPr>
        <w:t>领域的</w:t>
      </w:r>
      <w:r>
        <w:rPr>
          <w:rFonts w:hint="eastAsia" w:ascii="宋体" w:hAnsi="宋体" w:eastAsia="宋体" w:cs="宋体"/>
          <w:color w:val="000000" w:themeColor="text1"/>
          <w:sz w:val="24"/>
          <w:szCs w:val="24"/>
          <w:highlight w:val="none"/>
          <w14:textFill>
            <w14:solidFill>
              <w14:schemeClr w14:val="tx1"/>
            </w14:solidFill>
          </w14:textFill>
        </w:rPr>
        <w:t>新成果、新信息、新趋势。</w:t>
      </w:r>
    </w:p>
    <w:p w14:paraId="413A40F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（三）课程的教学活动与组织方式</w:t>
      </w:r>
    </w:p>
    <w:p w14:paraId="1D0F9E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1.改革传统单向讲授教学方法，根据课程目标和内容，运用多种教学手段，提高学生学习积极性，引导学生主动学习，深入思考，实现高阶教学目标。</w:t>
      </w:r>
    </w:p>
    <w:p w14:paraId="2BC29A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2.利用人工智能辅助或深度介入课程，探索人工智能助教、人工智能教师，持续创新教学场景，以AI助推教、学、评变革，提升课堂教学效率与质量。</w:t>
      </w:r>
    </w:p>
    <w:p w14:paraId="3083AA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3.倡导小班化研讨、线上线下混合、师生互动和生生互动等教学方式，通过对谈、辩论、游戏、小品等多种形式，引导学生进行追问、反思和批判。</w:t>
      </w:r>
    </w:p>
    <w:p w14:paraId="2E35A3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4.在教学活动设计中，注重阅读、写作和口头表达能力的训练，注重思维方法、研究方法、综合能力的提升。</w:t>
      </w:r>
    </w:p>
    <w:p w14:paraId="344E62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5.强调问题意识和问题解决能力的训练，引导学生发现并提出问题，学习综合运用跨学科知识分析与解决问题。</w:t>
      </w:r>
    </w:p>
    <w:p w14:paraId="2C7491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6.对课程作业、汇报、讨论等给予及时、有效地反馈和指导，并在此基础上编写课程报告。</w:t>
      </w:r>
    </w:p>
    <w:p w14:paraId="63CDF42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（四）课程的考核与评价方式</w:t>
      </w:r>
    </w:p>
    <w:p w14:paraId="1D1DEF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1.要针对课程目标实施考核和评价，并提供评分标准或描述性标准说明，确保学生能理解评分细则和奖惩方法。</w:t>
      </w:r>
    </w:p>
    <w:p w14:paraId="262B5A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2.将课内和课外相结合，对学生提出课外阅读量、练习量、小论文等要求，以检测学生的学习效果，学生课内外学习时间比例一般在1:1到1:2之间。</w:t>
      </w:r>
    </w:p>
    <w:p w14:paraId="0F117B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3.实施多元化的过程性评价，突出课程重点培养思维能力的考核</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引导学生在整个学期中都不断努力学习，避免出现仅仅依靠期末突击通过考试的情况。期末成绩占总成绩的比重一般不超过50%，</w:t>
      </w:r>
      <w:r>
        <w:rPr>
          <w:rFonts w:hint="eastAsia" w:ascii="宋体" w:hAnsi="宋体" w:eastAsia="宋体" w:cs="宋体"/>
          <w:color w:val="auto"/>
          <w:sz w:val="24"/>
          <w:szCs w:val="24"/>
          <w:highlight w:val="none"/>
        </w:rPr>
        <w:t>过程性作业一般不少于4次。</w:t>
      </w:r>
    </w:p>
    <w:p w14:paraId="4E1396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4.改进结果评价，加大综合性、应用性、探究性试题比例，探索非标准答案的、开放性的、个性化的考核评价方式，建议采取等级制。</w:t>
      </w:r>
    </w:p>
    <w:p w14:paraId="6C64F8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探索增值评价，采取科学方式呈现学生的学习进步情况，引入学习激励机制。</w:t>
      </w:r>
    </w:p>
    <w:p w14:paraId="67B2F7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健全综合评价，通过观察、讨论、展示、同伴互导或自我评估多种方式收集多方面证据，实现对学习效果的全面评价</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488C8D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.应及时将考核结果反馈给学生，从而在教学过程中帮助学生改进学习。</w:t>
      </w:r>
    </w:p>
    <w:p w14:paraId="3F2A743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（五）教学资源与学习支持</w:t>
      </w:r>
    </w:p>
    <w:p w14:paraId="4B8859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1.选用优秀教材，积极编写高质量教材或内部讲义。</w:t>
      </w:r>
    </w:p>
    <w:p w14:paraId="06CA49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2.为学生提供丰富且优质的课程参考书目库等课外学习资源，并指导学生如何高效获取和使用学习资源。鼓励建设课程网站和制作MOOC视频。</w:t>
      </w:r>
    </w:p>
    <w:p w14:paraId="4A234D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3.为学生的学习提供足够支持与指导，包括学习方法指导、课程答疑等。</w:t>
      </w:r>
    </w:p>
    <w:p w14:paraId="04409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4.要注重收集学生学习相关数据，开展关于课程学习的研究，通过总结反思不断改进教学。</w:t>
      </w:r>
    </w:p>
    <w:p w14:paraId="7975BF4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（六）教学团队</w:t>
      </w:r>
    </w:p>
    <w:p w14:paraId="03C518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教学团队应结构合理、人员稳定、素质优良、教学或科研成效显著，团队成员学科背景或学术研究应能共同有力支撑课程教学，人数一般不少于3人，能够确保课程建设的连续性、稳定性与发展性。课程负责人承担的教学任务不少于总课时的三分之一。</w:t>
      </w:r>
    </w:p>
    <w:p w14:paraId="3C558B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2.教学团队教学效果良好，学生和同行评价高。</w:t>
      </w:r>
    </w:p>
    <w:p w14:paraId="047381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4"/>
          <w:szCs w:val="24"/>
          <w:highlight w:val="none"/>
          <w14:textFill>
            <w14:solidFill>
              <w14:schemeClr w14:val="tx1"/>
            </w14:solidFill>
          </w14:textFill>
        </w:rPr>
      </w:pPr>
    </w:p>
    <w:p w14:paraId="1733548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三、“人类思维与学科史论”课程目标和建设要点</w:t>
      </w:r>
    </w:p>
    <w:p w14:paraId="6DBB727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（一）课程目标</w:t>
      </w:r>
    </w:p>
    <w:p w14:paraId="42E18C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让学生跨越学科界限，引导学科交叉融合，从不同学科的历史发展中汲取“思维自由”的养分。</w:t>
      </w:r>
    </w:p>
    <w:p w14:paraId="2A4E686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（二）建设要点</w:t>
      </w:r>
    </w:p>
    <w:p w14:paraId="7103C68D">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1.课程应明确训练什么思维（如</w:t>
      </w:r>
      <w:r>
        <w:rPr>
          <w:rFonts w:hint="eastAsia" w:ascii="宋体" w:hAnsi="宋体" w:eastAsia="宋体" w:cs="宋体"/>
          <w:color w:val="000000" w:themeColor="text1"/>
          <w:sz w:val="24"/>
          <w:szCs w:val="24"/>
          <w:highlight w:val="none"/>
          <w14:textFill>
            <w14:solidFill>
              <w14:schemeClr w14:val="tx1"/>
            </w14:solidFill>
          </w14:textFill>
        </w:rPr>
        <w:t>逻辑思维、形象思维、批判性思维</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创造性思维</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学科特有的思维等），以及通过何种途径实现思维训练目标。</w:t>
      </w:r>
    </w:p>
    <w:p w14:paraId="2CAC805A">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以学科发展史中的重大颠覆性事件以及具有代表性的人物等典型案例为素材，重点揭示其发展方式和思维模式的重大转折和变化，并阐明其超越原学科的普适意义；从历史演进维度向学生展示前辈学者在过往研究中如何将灵感转变为理论和实践，进而推动学科向前发展的过程，同时反思这些重大创造成果所带有的时代局限性。不追求知识点的完整性和系统性，重在挖掘学科发展过程中能够促进学生思考问题，改变学生思维角度的材料。</w:t>
      </w:r>
    </w:p>
    <w:p w14:paraId="07DCE1C1">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3.注重教学方法与手段的改革，强化师生、生生互动，实施以书面写作、口头演讲为主的过程性评价。</w:t>
      </w:r>
    </w:p>
    <w:p w14:paraId="567583A2">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4.一般为1学分课程。</w:t>
      </w:r>
    </w:p>
    <w:p w14:paraId="17B6373B">
      <w:pPr>
        <w:keepNext w:val="0"/>
        <w:keepLines w:val="0"/>
        <w:pageBreakBefore w:val="0"/>
        <w:widowControl w:val="0"/>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3DFE0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四、经典阅读课程目标和建设要点</w:t>
      </w:r>
    </w:p>
    <w:p w14:paraId="416191F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（一）课程目标</w:t>
      </w:r>
    </w:p>
    <w:p w14:paraId="2DD316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课程通过与“人类最伟大的思想和言论”直接对话的方式，让经典文本本身成为揭开文明进程的工具，帮助学生领会曾经改变过世界的重要思想内涵，并从中汲取养分，由此了解人类的过去，加深对今日世界的理解，使学生能够在经典阅读中获取教益，塑造品格，锻炼能力。</w:t>
      </w:r>
    </w:p>
    <w:p w14:paraId="4E9F588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（二）建设要点</w:t>
      </w:r>
    </w:p>
    <w:p w14:paraId="03B43C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围绕经典阅读展开，所选文本应当是影响人类历史和思维的、曾经为理解世界作出具有重大历史意义贡献的名著经典。</w:t>
      </w:r>
    </w:p>
    <w:p w14:paraId="7F794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应强调通过阅读，读懂中外先哲的思想与智慧，读懂人类社会的由来与去向。读书并无定法，但要在教学过程中真正使每个学生深度阅读，教师注重问题的引导、组织充分的课堂讨论和深入的读书方法的指导，避免教师讲、学生听的单一教学模式。</w:t>
      </w:r>
    </w:p>
    <w:p w14:paraId="6936DDD2">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3.一般为2学分课程。</w:t>
      </w:r>
    </w:p>
    <w:p w14:paraId="067E920B">
      <w:pPr>
        <w:keepNext w:val="0"/>
        <w:keepLines w:val="0"/>
        <w:pageBreakBefore w:val="0"/>
        <w:widowControl w:val="0"/>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FDBCD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五、模块课程目标和建设要点</w:t>
      </w:r>
    </w:p>
    <w:p w14:paraId="537E7FF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（一）课程目标</w:t>
      </w:r>
    </w:p>
    <w:p w14:paraId="19B09A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以问题为导向，直面当代社会面临的种种困境和挑战，回应困扰学生的带有根本性、终极性的问题。模块</w:t>
      </w:r>
      <w:r>
        <w:rPr>
          <w:rFonts w:hint="eastAsia" w:ascii="宋体" w:hAnsi="宋体" w:eastAsia="宋体" w:cs="宋体"/>
          <w:color w:val="000000" w:themeColor="text1"/>
          <w:sz w:val="24"/>
          <w:szCs w:val="24"/>
          <w:highlight w:val="none"/>
          <w:lang w:val="en-US" w:eastAsia="zh-CN"/>
          <w14:textFill>
            <w14:solidFill>
              <w14:schemeClr w14:val="tx1"/>
            </w14:solidFill>
          </w14:textFill>
        </w:rPr>
        <w:t>课程</w:t>
      </w:r>
      <w:r>
        <w:rPr>
          <w:rFonts w:hint="eastAsia" w:ascii="宋体" w:hAnsi="宋体" w:eastAsia="宋体" w:cs="宋体"/>
          <w:color w:val="000000" w:themeColor="text1"/>
          <w:sz w:val="24"/>
          <w:szCs w:val="24"/>
          <w:highlight w:val="none"/>
          <w14:textFill>
            <w14:solidFill>
              <w14:schemeClr w14:val="tx1"/>
            </w14:solidFill>
          </w14:textFill>
        </w:rPr>
        <w:t>下设“理性、科学与发展”“实践、技术与创新”“思辨、推理与判断”“文化、审美与诠释”“价值、社会与进步”“伦理、教育与沟通”六个延伸模块，各延伸模块的课程目标如下：</w:t>
      </w:r>
    </w:p>
    <w:p w14:paraId="03773B7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理性、科学与发展</w:t>
      </w:r>
    </w:p>
    <w:p w14:paraId="3B2A33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以数学、自然科学的重要理论为基础，从对理性的本质及其与科学的关系入手，对现代科学进程影响乃至改变人类思想与社会等人类历史进程的重要内容做深入的分析，使学生在理性基础上了解自然与生命的规律，增强学生的科学素养，逐步建立起对人类自身和世界的科学态度，塑造学生理性、科学的探究精神。</w:t>
      </w:r>
    </w:p>
    <w:p w14:paraId="6309DDB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实践、技术与创新</w:t>
      </w:r>
    </w:p>
    <w:p w14:paraId="5398C0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通过对过去及当今科学技术领域取得重要突破的一些关键知识点进行分析、讲解，让学生把握科学技术、工程思维，尤其是现代科学技术的本质，结合抽象演算与建立在实验、实践基础上的事实验证，帮助学生准确领会科学与工程技术特有的思维方式，激发学生开放思考的能力；同时将相关学科领域的知识融会贯通，增强学生对人类科技文明发展成果的理解，使学生在主动、参与和合作的环境中提升自己创新的动力与能力。</w:t>
      </w:r>
    </w:p>
    <w:p w14:paraId="095CB62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思辨、推理与判断</w:t>
      </w:r>
    </w:p>
    <w:p w14:paraId="6C86DD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基本目标以逻辑学为主线，使学生在掌握思维的一般规律、原理和规则的同时，具体学习命题、说明、解释以及论证等方法，让学生运用正确推理方法，对人类至关重要的问题展开有条理的讨论，帮助学生在面对各种纷繁复杂的现象时能独立思考并作出合理判断。</w:t>
      </w:r>
    </w:p>
    <w:p w14:paraId="0450761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文化、审美与诠释</w:t>
      </w:r>
    </w:p>
    <w:p w14:paraId="1BDDCA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在对世界各主要文明的诠释中，结合不同的形式以及不同的方法，发现各种文明之间共同的价值因素和情感表达方式，激发想象力，陶冶情操，提升审美趣味与审美能力，使学生理解人类文明的丰富性和多样性，培养学生在不同视角之间转换的能力，加深对不同文明与文化的理解。</w:t>
      </w:r>
    </w:p>
    <w:p w14:paraId="50AB18D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价值、社会与进步</w:t>
      </w:r>
    </w:p>
    <w:p w14:paraId="44FBED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以历史维度并结合多种社会科学方法，增强学生对中华优秀传统价值的体认、对当下中国社会的理解和对未来社会发展的研判，培植价值共同体的根基，增强对于民族与社会发展的使命感和责任感。</w:t>
      </w:r>
    </w:p>
    <w:p w14:paraId="07064CC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6</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伦理、教育与沟通</w:t>
      </w:r>
    </w:p>
    <w:p w14:paraId="7A2714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把握教育、心理学科的相关概念、原理和方法，学会个人成熟完善和社会生活延续的基本条件和手段，能够按照人的身心发展和活动规律去观察、理解人与社会，以易于为他人所接受的方式表达自己的意见、将沟通作为伦理和教育的一个重要组成部分，强调与人相处时的协调、合作能力，在此基础上更好地发挥个人的影响力。</w:t>
      </w:r>
    </w:p>
    <w:p w14:paraId="4EEDB7A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其中人工智能相关课程</w:t>
      </w:r>
      <w:r>
        <w:rPr>
          <w:rFonts w:hint="eastAsia" w:ascii="宋体" w:hAnsi="宋体" w:eastAsia="宋体" w:cs="宋体"/>
          <w:sz w:val="24"/>
          <w:szCs w:val="24"/>
          <w:highlight w:val="none"/>
          <w:lang w:val="en-US" w:eastAsia="zh-CN"/>
        </w:rPr>
        <w:t>：</w:t>
      </w:r>
      <w:r>
        <w:rPr>
          <w:rFonts w:hint="eastAsia" w:ascii="宋体" w:hAnsi="宋体" w:eastAsia="宋体" w:cs="宋体"/>
          <w:b/>
          <w:bCs/>
          <w:sz w:val="24"/>
          <w:szCs w:val="24"/>
          <w:highlight w:val="none"/>
        </w:rPr>
        <w:t>数智认知</w:t>
      </w:r>
      <w:r>
        <w:rPr>
          <w:rFonts w:hint="eastAsia" w:ascii="宋体" w:hAnsi="宋体" w:eastAsia="宋体" w:cs="宋体"/>
          <w:b/>
          <w:bCs/>
          <w:sz w:val="24"/>
          <w:szCs w:val="24"/>
          <w:highlight w:val="none"/>
          <w:lang w:val="en-US" w:eastAsia="zh-CN"/>
        </w:rPr>
        <w:t>类课程</w:t>
      </w:r>
      <w:r>
        <w:rPr>
          <w:rFonts w:hint="eastAsia" w:ascii="宋体" w:hAnsi="宋体" w:eastAsia="宋体" w:cs="宋体"/>
          <w:sz w:val="24"/>
          <w:szCs w:val="24"/>
          <w:highlight w:val="none"/>
        </w:rPr>
        <w:t>旨在提升同学们对于数字技术和智能技术的理解，强化基础编程训练</w:t>
      </w:r>
      <w:r>
        <w:rPr>
          <w:rFonts w:hint="eastAsia" w:ascii="宋体" w:hAnsi="宋体" w:eastAsia="宋体" w:cs="宋体"/>
          <w:sz w:val="24"/>
          <w:szCs w:val="24"/>
          <w:highlight w:val="none"/>
          <w:lang w:eastAsia="zh-CN"/>
        </w:rPr>
        <w:t>；</w:t>
      </w:r>
      <w:r>
        <w:rPr>
          <w:rFonts w:hint="eastAsia" w:ascii="宋体" w:hAnsi="宋体" w:eastAsia="宋体" w:cs="宋体"/>
          <w:b/>
          <w:bCs/>
          <w:sz w:val="24"/>
          <w:szCs w:val="24"/>
          <w:highlight w:val="none"/>
        </w:rPr>
        <w:t>数智技能</w:t>
      </w:r>
      <w:r>
        <w:rPr>
          <w:rFonts w:hint="eastAsia" w:ascii="宋体" w:hAnsi="宋体" w:eastAsia="宋体" w:cs="宋体"/>
          <w:b/>
          <w:bCs/>
          <w:sz w:val="24"/>
          <w:szCs w:val="24"/>
          <w:highlight w:val="none"/>
          <w:lang w:val="en-US" w:eastAsia="zh-CN"/>
        </w:rPr>
        <w:t>类课程</w:t>
      </w:r>
      <w:r>
        <w:rPr>
          <w:rFonts w:hint="eastAsia" w:ascii="宋体" w:hAnsi="宋体" w:eastAsia="宋体" w:cs="宋体"/>
          <w:sz w:val="24"/>
          <w:szCs w:val="24"/>
          <w:highlight w:val="none"/>
        </w:rPr>
        <w:t>旨在引导同学们熟练掌握并驾驭大模型、人工智能等相关工具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场景开发</w:t>
      </w:r>
      <w:r>
        <w:rPr>
          <w:rFonts w:hint="eastAsia" w:ascii="宋体" w:hAnsi="宋体" w:eastAsia="宋体" w:cs="宋体"/>
          <w:sz w:val="24"/>
          <w:szCs w:val="24"/>
          <w:highlight w:val="none"/>
          <w:lang w:eastAsia="zh-CN"/>
        </w:rPr>
        <w:t>；</w:t>
      </w:r>
      <w:r>
        <w:rPr>
          <w:rFonts w:hint="eastAsia" w:ascii="宋体" w:hAnsi="宋体" w:eastAsia="宋体" w:cs="宋体"/>
          <w:b/>
          <w:bCs/>
          <w:sz w:val="24"/>
          <w:szCs w:val="24"/>
          <w:highlight w:val="none"/>
          <w:lang w:val="en-US" w:eastAsia="zh-CN"/>
        </w:rPr>
        <w:t>数智实现类课程</w:t>
      </w:r>
      <w:r>
        <w:rPr>
          <w:rFonts w:hint="eastAsia" w:ascii="宋体" w:hAnsi="宋体" w:eastAsia="宋体" w:cs="宋体"/>
          <w:sz w:val="24"/>
          <w:szCs w:val="24"/>
          <w:highlight w:val="none"/>
        </w:rPr>
        <w:t>旨在引导同学们使用编程工具、AIGC、开源软件等智能工具进行学习、研究，应用人工智能技术解决实际问题</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实现实践创新的突破</w:t>
      </w:r>
      <w:r>
        <w:rPr>
          <w:rFonts w:hint="eastAsia" w:ascii="宋体" w:hAnsi="宋体" w:eastAsia="宋体" w:cs="宋体"/>
          <w:sz w:val="24"/>
          <w:szCs w:val="24"/>
          <w:highlight w:val="none"/>
          <w:lang w:eastAsia="zh-CN"/>
        </w:rPr>
        <w:t>；</w:t>
      </w:r>
      <w:r>
        <w:rPr>
          <w:rFonts w:hint="eastAsia" w:ascii="宋体" w:hAnsi="宋体" w:eastAsia="宋体" w:cs="宋体"/>
          <w:b/>
          <w:bCs/>
          <w:sz w:val="24"/>
          <w:szCs w:val="24"/>
          <w:highlight w:val="none"/>
        </w:rPr>
        <w:t>数智伦理</w:t>
      </w:r>
      <w:r>
        <w:rPr>
          <w:rFonts w:hint="eastAsia" w:ascii="宋体" w:hAnsi="宋体" w:eastAsia="宋体" w:cs="宋体"/>
          <w:b/>
          <w:bCs/>
          <w:sz w:val="24"/>
          <w:szCs w:val="24"/>
          <w:highlight w:val="none"/>
          <w:lang w:val="en-US" w:eastAsia="zh-CN"/>
        </w:rPr>
        <w:t>类课程</w:t>
      </w:r>
      <w:r>
        <w:rPr>
          <w:rFonts w:hint="eastAsia" w:ascii="宋体" w:hAnsi="宋体" w:eastAsia="宋体" w:cs="宋体"/>
          <w:sz w:val="24"/>
          <w:szCs w:val="24"/>
          <w:highlight w:val="none"/>
        </w:rPr>
        <w:t>旨在增强学生应用人工智能相关技术、工具的伦理意识和法律素养</w:t>
      </w:r>
      <w:r>
        <w:rPr>
          <w:rFonts w:hint="eastAsia" w:ascii="宋体" w:hAnsi="宋体" w:eastAsia="宋体" w:cs="宋体"/>
          <w:sz w:val="24"/>
          <w:szCs w:val="24"/>
          <w:highlight w:val="none"/>
          <w:lang w:eastAsia="zh-CN"/>
        </w:rPr>
        <w:t>。</w:t>
      </w:r>
    </w:p>
    <w:p w14:paraId="2743FA2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（二）建设要点</w:t>
      </w:r>
    </w:p>
    <w:p w14:paraId="7E5E5A85">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1.从对学习者具有休戚相关意义的问题出发，以社会发展的问题或人们生活的领域为核心，不</w:t>
      </w:r>
      <w:bookmarkStart w:id="0" w:name="_GoBack"/>
      <w:bookmarkEnd w:id="0"/>
      <w:r>
        <w:rPr>
          <w:rFonts w:hint="eastAsia" w:ascii="宋体" w:hAnsi="宋体" w:eastAsia="宋体" w:cs="宋体"/>
          <w:sz w:val="24"/>
          <w:szCs w:val="24"/>
          <w:highlight w:val="none"/>
          <w:lang w:val="en-US" w:eastAsia="zh-CN"/>
        </w:rPr>
        <w:t>追求知识的系统性，淡化学科观念，打破学科界限，将若干学科的知识内容围绕着中心问题进行组合，注重结合当下生活中的实际案例，从不同层次问题的逻辑展开内容，体现出综合性的取向。</w:t>
      </w:r>
    </w:p>
    <w:p w14:paraId="3EF5CF59">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2.强调问题意识和问题解决的方法、思维能力、心智技能等方面的训练要素，引导学生运用跨学科知识进行研讨和探究。</w:t>
      </w:r>
    </w:p>
    <w:p w14:paraId="43B08BF9">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3.一般为2学分课程。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hYWEyMjQ5ODRhMjJlYWUwMDNjNWE1ZTc2YTFhMWQifQ=="/>
  </w:docVars>
  <w:rsids>
    <w:rsidRoot w:val="00947638"/>
    <w:rsid w:val="0046717B"/>
    <w:rsid w:val="004D3714"/>
    <w:rsid w:val="0055617E"/>
    <w:rsid w:val="00714CA8"/>
    <w:rsid w:val="008F748B"/>
    <w:rsid w:val="00947638"/>
    <w:rsid w:val="00AA05D6"/>
    <w:rsid w:val="00CD6AD1"/>
    <w:rsid w:val="00D526AC"/>
    <w:rsid w:val="00D774B5"/>
    <w:rsid w:val="00D96E57"/>
    <w:rsid w:val="00E114DE"/>
    <w:rsid w:val="00F0528F"/>
    <w:rsid w:val="01B843CB"/>
    <w:rsid w:val="020C7CA1"/>
    <w:rsid w:val="028F7766"/>
    <w:rsid w:val="029B5B40"/>
    <w:rsid w:val="02E1473F"/>
    <w:rsid w:val="03FE4449"/>
    <w:rsid w:val="0632037C"/>
    <w:rsid w:val="07142C9E"/>
    <w:rsid w:val="0B386C6D"/>
    <w:rsid w:val="0B533509"/>
    <w:rsid w:val="0B585E5D"/>
    <w:rsid w:val="0C3703FE"/>
    <w:rsid w:val="0F24663E"/>
    <w:rsid w:val="0F604CC3"/>
    <w:rsid w:val="105F6D81"/>
    <w:rsid w:val="12525FB3"/>
    <w:rsid w:val="12C3283A"/>
    <w:rsid w:val="14733521"/>
    <w:rsid w:val="15311B6A"/>
    <w:rsid w:val="156D0381"/>
    <w:rsid w:val="16AF52BD"/>
    <w:rsid w:val="17967D05"/>
    <w:rsid w:val="17977AE2"/>
    <w:rsid w:val="18F91BF8"/>
    <w:rsid w:val="1AE143A9"/>
    <w:rsid w:val="1BF85B29"/>
    <w:rsid w:val="1F95570F"/>
    <w:rsid w:val="20FC0AD0"/>
    <w:rsid w:val="213F3588"/>
    <w:rsid w:val="21462AC4"/>
    <w:rsid w:val="214F3AE4"/>
    <w:rsid w:val="21BF06D9"/>
    <w:rsid w:val="22EF156E"/>
    <w:rsid w:val="2335732C"/>
    <w:rsid w:val="235A25D6"/>
    <w:rsid w:val="24DB2D89"/>
    <w:rsid w:val="26682ED3"/>
    <w:rsid w:val="267E1424"/>
    <w:rsid w:val="275301B5"/>
    <w:rsid w:val="29545763"/>
    <w:rsid w:val="2A2C7F57"/>
    <w:rsid w:val="2B8C1CDD"/>
    <w:rsid w:val="2CF232AA"/>
    <w:rsid w:val="2E1E0AD4"/>
    <w:rsid w:val="30325127"/>
    <w:rsid w:val="306956F7"/>
    <w:rsid w:val="3108072F"/>
    <w:rsid w:val="312C3E4F"/>
    <w:rsid w:val="313526B5"/>
    <w:rsid w:val="32AA6EDA"/>
    <w:rsid w:val="32BF4B25"/>
    <w:rsid w:val="32E512E7"/>
    <w:rsid w:val="331A0D07"/>
    <w:rsid w:val="33C4680A"/>
    <w:rsid w:val="366304B7"/>
    <w:rsid w:val="37226F16"/>
    <w:rsid w:val="37423FF8"/>
    <w:rsid w:val="377223A1"/>
    <w:rsid w:val="378B6587"/>
    <w:rsid w:val="37F63657"/>
    <w:rsid w:val="39752DF3"/>
    <w:rsid w:val="39A84599"/>
    <w:rsid w:val="39B830FA"/>
    <w:rsid w:val="3A341BFE"/>
    <w:rsid w:val="3B191BFA"/>
    <w:rsid w:val="3D063004"/>
    <w:rsid w:val="3D694FFE"/>
    <w:rsid w:val="3DED73A1"/>
    <w:rsid w:val="3F8A7E8B"/>
    <w:rsid w:val="40245064"/>
    <w:rsid w:val="40960BFB"/>
    <w:rsid w:val="4102698E"/>
    <w:rsid w:val="4189603B"/>
    <w:rsid w:val="42C712FC"/>
    <w:rsid w:val="42FA6EBD"/>
    <w:rsid w:val="431B0549"/>
    <w:rsid w:val="43EC0098"/>
    <w:rsid w:val="441B5933"/>
    <w:rsid w:val="4476700E"/>
    <w:rsid w:val="452627E2"/>
    <w:rsid w:val="454667CA"/>
    <w:rsid w:val="45D274A7"/>
    <w:rsid w:val="48E84336"/>
    <w:rsid w:val="49787384"/>
    <w:rsid w:val="49F25BC3"/>
    <w:rsid w:val="4A7C7177"/>
    <w:rsid w:val="4AE81267"/>
    <w:rsid w:val="4B337A07"/>
    <w:rsid w:val="4C065AC9"/>
    <w:rsid w:val="4CDC375F"/>
    <w:rsid w:val="4D79146C"/>
    <w:rsid w:val="4D8D4244"/>
    <w:rsid w:val="4DA50B5C"/>
    <w:rsid w:val="4DD73A52"/>
    <w:rsid w:val="4E0C39A0"/>
    <w:rsid w:val="4E7F0945"/>
    <w:rsid w:val="4F012720"/>
    <w:rsid w:val="503A2B11"/>
    <w:rsid w:val="5122685C"/>
    <w:rsid w:val="51771026"/>
    <w:rsid w:val="52C32516"/>
    <w:rsid w:val="550B6FFD"/>
    <w:rsid w:val="557B324F"/>
    <w:rsid w:val="57865A54"/>
    <w:rsid w:val="5873773F"/>
    <w:rsid w:val="590B399D"/>
    <w:rsid w:val="5AEF0805"/>
    <w:rsid w:val="5B5F175E"/>
    <w:rsid w:val="5BA01743"/>
    <w:rsid w:val="5BA50D98"/>
    <w:rsid w:val="5BD60DCD"/>
    <w:rsid w:val="5C311770"/>
    <w:rsid w:val="5EEB1990"/>
    <w:rsid w:val="5F3D65EC"/>
    <w:rsid w:val="60B5648E"/>
    <w:rsid w:val="60DE7B8E"/>
    <w:rsid w:val="610B6CE6"/>
    <w:rsid w:val="61F5387D"/>
    <w:rsid w:val="621250FF"/>
    <w:rsid w:val="623743C3"/>
    <w:rsid w:val="62942810"/>
    <w:rsid w:val="636F1E92"/>
    <w:rsid w:val="63AF1FFB"/>
    <w:rsid w:val="658121AB"/>
    <w:rsid w:val="67494B42"/>
    <w:rsid w:val="67E53EE8"/>
    <w:rsid w:val="68A60E4B"/>
    <w:rsid w:val="68B171F9"/>
    <w:rsid w:val="68C17AD2"/>
    <w:rsid w:val="68F161BD"/>
    <w:rsid w:val="69CA6754"/>
    <w:rsid w:val="6A550DA7"/>
    <w:rsid w:val="6A681738"/>
    <w:rsid w:val="6B2F72CC"/>
    <w:rsid w:val="6BE07043"/>
    <w:rsid w:val="6C652865"/>
    <w:rsid w:val="6CCB7826"/>
    <w:rsid w:val="6CDF43B8"/>
    <w:rsid w:val="6D6A5094"/>
    <w:rsid w:val="6D876240"/>
    <w:rsid w:val="6E423533"/>
    <w:rsid w:val="7146142D"/>
    <w:rsid w:val="718376FB"/>
    <w:rsid w:val="73A74824"/>
    <w:rsid w:val="742C4E6F"/>
    <w:rsid w:val="74E63253"/>
    <w:rsid w:val="78E93DFC"/>
    <w:rsid w:val="79DE706C"/>
    <w:rsid w:val="7C7B24E4"/>
    <w:rsid w:val="7DA41F1A"/>
    <w:rsid w:val="7E9E5FB4"/>
    <w:rsid w:val="7F3E1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4070</Words>
  <Characters>4127</Characters>
  <Lines>25</Lines>
  <Paragraphs>7</Paragraphs>
  <TotalTime>4</TotalTime>
  <ScaleCrop>false</ScaleCrop>
  <LinksUpToDate>false</LinksUpToDate>
  <CharactersWithSpaces>4127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XUHUAN</dc:creator>
  <cp:lastModifiedBy>芫芫</cp:lastModifiedBy>
  <dcterms:modified xsi:type="dcterms:W3CDTF">2025-12-17T01:40:12Z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822D9121788C4CBD950A7311992BCFD3</vt:lpwstr>
  </property>
  <property fmtid="{D5CDD505-2E9C-101B-9397-08002B2CF9AE}" pid="4" name="KSOTemplateDocerSaveRecord">
    <vt:lpwstr>eyJoZGlkIjoiZDZhYWEyMjQ5ODRhMjJlYWUwMDNjNWE1ZTc2YTFhMWQiLCJ1c2VySWQiOiIzNjAxNTAwNTkifQ==</vt:lpwstr>
  </property>
</Properties>
</file>