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65C45">
      <w:pPr>
        <w:jc w:val="both"/>
        <w:rPr>
          <w:rFonts w:hint="eastAsia" w:ascii="宋体" w:hAnsi="宋体"/>
          <w:b/>
          <w:sz w:val="56"/>
          <w:szCs w:val="52"/>
        </w:rPr>
      </w:pPr>
    </w:p>
    <w:p w14:paraId="16986849">
      <w:pPr>
        <w:ind w:firstLine="562" w:firstLineChars="100"/>
        <w:rPr>
          <w:rFonts w:ascii="宋体" w:hAnsi="宋体"/>
          <w:b/>
          <w:sz w:val="56"/>
          <w:szCs w:val="52"/>
        </w:rPr>
      </w:pPr>
      <w:r>
        <w:rPr>
          <w:rFonts w:hint="eastAsia" w:ascii="宋体" w:hAnsi="宋体"/>
          <w:b/>
          <w:sz w:val="56"/>
          <w:szCs w:val="52"/>
        </w:rPr>
        <w:t>维普毕业</w:t>
      </w:r>
      <w:r>
        <w:rPr>
          <w:rFonts w:hint="eastAsia" w:ascii="宋体" w:hAnsi="宋体"/>
          <w:b/>
          <w:sz w:val="56"/>
          <w:szCs w:val="52"/>
          <w:lang w:val="en-US" w:eastAsia="zh-CN"/>
        </w:rPr>
        <w:t>论文</w:t>
      </w:r>
      <w:r>
        <w:rPr>
          <w:rFonts w:hint="eastAsia" w:ascii="宋体" w:hAnsi="宋体"/>
          <w:b/>
          <w:sz w:val="56"/>
          <w:szCs w:val="52"/>
        </w:rPr>
        <w:t>（</w:t>
      </w:r>
      <w:r>
        <w:rPr>
          <w:rFonts w:hint="eastAsia" w:ascii="宋体" w:hAnsi="宋体"/>
          <w:b/>
          <w:sz w:val="56"/>
          <w:szCs w:val="52"/>
          <w:lang w:val="en-US" w:eastAsia="zh-CN"/>
        </w:rPr>
        <w:t>设计</w:t>
      </w:r>
      <w:r>
        <w:rPr>
          <w:rFonts w:hint="eastAsia" w:ascii="宋体" w:hAnsi="宋体"/>
          <w:b/>
          <w:sz w:val="56"/>
          <w:szCs w:val="52"/>
        </w:rPr>
        <w:t>）管理系统</w:t>
      </w:r>
    </w:p>
    <w:p w14:paraId="07702340">
      <w:pPr>
        <w:rPr>
          <w:rFonts w:ascii="宋体" w:hAnsi="宋体"/>
        </w:rPr>
      </w:pPr>
    </w:p>
    <w:p w14:paraId="7EC982A6">
      <w:pPr>
        <w:rPr>
          <w:rFonts w:ascii="宋体" w:hAnsi="宋体"/>
        </w:rPr>
      </w:pPr>
    </w:p>
    <w:p w14:paraId="76D5B055">
      <w:pPr>
        <w:rPr>
          <w:rFonts w:ascii="宋体" w:hAnsi="宋体"/>
        </w:rPr>
      </w:pPr>
    </w:p>
    <w:p w14:paraId="65740849">
      <w:pPr>
        <w:rPr>
          <w:rFonts w:ascii="宋体" w:hAnsi="宋体"/>
        </w:rPr>
      </w:pPr>
    </w:p>
    <w:p w14:paraId="6CCBF0E1">
      <w:pPr>
        <w:rPr>
          <w:rFonts w:ascii="宋体" w:hAnsi="宋体"/>
        </w:rPr>
      </w:pPr>
    </w:p>
    <w:p w14:paraId="62983C55">
      <w:pPr>
        <w:rPr>
          <w:rFonts w:ascii="宋体" w:hAnsi="宋体"/>
        </w:rPr>
      </w:pPr>
    </w:p>
    <w:p w14:paraId="40629CB2">
      <w:pPr>
        <w:rPr>
          <w:rFonts w:ascii="宋体" w:hAnsi="宋体"/>
        </w:rPr>
      </w:pPr>
    </w:p>
    <w:p w14:paraId="5A556E60">
      <w:pPr>
        <w:rPr>
          <w:rFonts w:ascii="宋体" w:hAnsi="宋体"/>
        </w:rPr>
      </w:pPr>
    </w:p>
    <w:p w14:paraId="0B3B7DCE">
      <w:pPr>
        <w:jc w:val="center"/>
        <w:outlineLvl w:val="0"/>
        <w:rPr>
          <w:rFonts w:ascii="宋体" w:hAnsi="宋体"/>
          <w:b/>
          <w:sz w:val="56"/>
          <w:szCs w:val="52"/>
        </w:rPr>
      </w:pPr>
      <w:bookmarkStart w:id="0" w:name="_Toc5184"/>
      <w:bookmarkStart w:id="1" w:name="_Toc20528"/>
      <w:bookmarkStart w:id="2" w:name="_Toc16608"/>
      <w:bookmarkStart w:id="3" w:name="_Toc24944"/>
      <w:bookmarkStart w:id="4" w:name="_Toc10028"/>
      <w:bookmarkStart w:id="5" w:name="_Toc312792983"/>
      <w:bookmarkStart w:id="6" w:name="_Toc1287"/>
      <w:r>
        <w:rPr>
          <w:rFonts w:hint="eastAsia" w:ascii="宋体" w:hAnsi="宋体"/>
          <w:b/>
          <w:sz w:val="56"/>
          <w:szCs w:val="52"/>
        </w:rPr>
        <w:t>用户操作手册</w:t>
      </w:r>
      <w:bookmarkEnd w:id="0"/>
      <w:bookmarkEnd w:id="1"/>
      <w:bookmarkEnd w:id="2"/>
      <w:bookmarkEnd w:id="3"/>
      <w:bookmarkEnd w:id="4"/>
      <w:bookmarkEnd w:id="5"/>
      <w:bookmarkEnd w:id="6"/>
    </w:p>
    <w:p w14:paraId="5CDB7FEE">
      <w:pPr>
        <w:jc w:val="center"/>
        <w:rPr>
          <w:rFonts w:ascii="宋体" w:hAnsi="宋体"/>
          <w:b/>
          <w:sz w:val="48"/>
          <w:szCs w:val="52"/>
        </w:rPr>
      </w:pPr>
      <w:r>
        <w:rPr>
          <w:rFonts w:hint="eastAsia" w:ascii="宋体" w:hAnsi="宋体"/>
          <w:b/>
          <w:sz w:val="48"/>
          <w:szCs w:val="52"/>
        </w:rPr>
        <w:t>（</w:t>
      </w:r>
      <w:r>
        <w:rPr>
          <w:rFonts w:hint="eastAsia" w:ascii="宋体" w:hAnsi="宋体"/>
          <w:b/>
          <w:sz w:val="48"/>
          <w:szCs w:val="52"/>
          <w:lang w:val="en-US" w:eastAsia="zh-CN"/>
        </w:rPr>
        <w:t>指导教师</w:t>
      </w:r>
      <w:r>
        <w:rPr>
          <w:rFonts w:ascii="宋体" w:hAnsi="宋体"/>
          <w:b/>
          <w:sz w:val="48"/>
          <w:u w:color="auto"/>
        </w:rPr>
        <w:t>角色</w:t>
      </w:r>
      <w:r>
        <w:rPr>
          <w:rFonts w:hint="eastAsia" w:ascii="宋体" w:hAnsi="宋体"/>
          <w:b/>
          <w:sz w:val="48"/>
          <w:szCs w:val="52"/>
        </w:rPr>
        <w:t>）</w:t>
      </w:r>
    </w:p>
    <w:p w14:paraId="13D6F2D5">
      <w:pPr>
        <w:rPr>
          <w:rFonts w:ascii="宋体" w:hAnsi="宋体"/>
        </w:rPr>
      </w:pPr>
    </w:p>
    <w:p w14:paraId="0F702C11">
      <w:pPr>
        <w:rPr>
          <w:rFonts w:ascii="宋体" w:hAnsi="宋体"/>
        </w:rPr>
      </w:pPr>
    </w:p>
    <w:p w14:paraId="50CF1D18">
      <w:pPr>
        <w:rPr>
          <w:rFonts w:ascii="宋体" w:hAnsi="宋体"/>
        </w:rPr>
      </w:pPr>
    </w:p>
    <w:p w14:paraId="4543A478">
      <w:pPr>
        <w:rPr>
          <w:rFonts w:ascii="宋体" w:hAnsi="宋体"/>
        </w:rPr>
      </w:pPr>
    </w:p>
    <w:p w14:paraId="5411106E">
      <w:pPr>
        <w:rPr>
          <w:rFonts w:ascii="宋体" w:hAnsi="宋体"/>
        </w:rPr>
      </w:pPr>
    </w:p>
    <w:p w14:paraId="01E42093">
      <w:pPr>
        <w:rPr>
          <w:rFonts w:ascii="宋体" w:hAnsi="宋体"/>
        </w:rPr>
      </w:pPr>
    </w:p>
    <w:p w14:paraId="72A1C089">
      <w:pPr>
        <w:jc w:val="center"/>
        <w:outlineLvl w:val="0"/>
        <w:rPr>
          <w:rFonts w:ascii="宋体" w:hAnsi="宋体"/>
          <w:sz w:val="30"/>
          <w:szCs w:val="30"/>
        </w:rPr>
      </w:pPr>
      <w:bookmarkStart w:id="7" w:name="_Toc1038"/>
      <w:bookmarkStart w:id="8" w:name="_Toc16472"/>
      <w:bookmarkStart w:id="9" w:name="_Toc71697425"/>
      <w:bookmarkStart w:id="10" w:name="_Toc24853"/>
      <w:bookmarkStart w:id="11" w:name="_Toc11013"/>
      <w:bookmarkStart w:id="12" w:name="_Toc1785"/>
      <w:r>
        <w:rPr>
          <w:rFonts w:hint="eastAsia" w:ascii="宋体" w:hAnsi="宋体"/>
          <w:sz w:val="30"/>
          <w:szCs w:val="30"/>
        </w:rPr>
        <w:t>重庆泛语科技有限公司</w:t>
      </w:r>
      <w:bookmarkEnd w:id="7"/>
      <w:bookmarkEnd w:id="8"/>
      <w:bookmarkEnd w:id="9"/>
      <w:bookmarkEnd w:id="10"/>
      <w:bookmarkEnd w:id="11"/>
      <w:bookmarkEnd w:id="12"/>
    </w:p>
    <w:p w14:paraId="1F7466E6"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br w:type="page"/>
      </w:r>
    </w:p>
    <w:p w14:paraId="14AAC61A">
      <w:pPr>
        <w:ind w:firstLine="2108" w:firstLineChars="1000"/>
        <w:jc w:val="left"/>
        <w:rPr>
          <w:rFonts w:hint="default" w:ascii="宋体" w:hAnsi="宋体" w:eastAsia="宋体"/>
          <w:b/>
          <w:szCs w:val="30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20C4AE78">
      <w:pPr>
        <w:spacing w:before="0" w:beforeLines="0" w:after="0" w:afterLines="0" w:line="240" w:lineRule="auto"/>
        <w:ind w:left="0" w:leftChars="0" w:right="0" w:rightChars="0" w:firstLine="5200" w:firstLineChars="1000"/>
        <w:jc w:val="left"/>
        <w:rPr>
          <w:rFonts w:hint="eastAsia" w:ascii="宋体" w:hAnsi="宋体" w:eastAsia="宋体" w:cs="Times New Roman"/>
          <w:kern w:val="2"/>
          <w:sz w:val="21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sz w:val="52"/>
          <w:szCs w:val="52"/>
        </w:rPr>
        <w:t>目录</w:t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instrText xml:space="preserve">TOC \o "1-3" \h \u </w:instrText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fldChar w:fldCharType="separate"/>
      </w:r>
    </w:p>
    <w:p w14:paraId="45A3A182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_Toc312792983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/>
          <w:szCs w:val="52"/>
        </w:rPr>
        <w:t>用户操作手册</w:t>
      </w:r>
      <w:r>
        <w:tab/>
      </w:r>
      <w:r>
        <w:fldChar w:fldCharType="begin"/>
      </w:r>
      <w:r>
        <w:instrText xml:space="preserve"> PAGEREF _Toc312792983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FEF432D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_Toc71697425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/>
          <w:szCs w:val="30"/>
        </w:rPr>
        <w:t>重庆泛语科技有限公司</w:t>
      </w:r>
      <w:r>
        <w:tab/>
      </w:r>
      <w:r>
        <w:fldChar w:fldCharType="begin"/>
      </w:r>
      <w:r>
        <w:instrText xml:space="preserve"> PAGEREF _Toc71697425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7DD9ABF2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_Toc280296008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/>
        </w:rPr>
        <w:t xml:space="preserve">一、 </w:t>
      </w:r>
      <w:r>
        <w:rPr>
          <w:rFonts w:hint="eastAsia"/>
        </w:rPr>
        <w:t>系统登录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两种登录方式任选其一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_Toc280296008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DD10941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_Toc1503368585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</w:rPr>
        <w:t xml:space="preserve">二、 </w:t>
      </w:r>
      <w:r>
        <w:rPr>
          <w:rFonts w:hint="eastAsia" w:ascii="仿宋_GB2312" w:eastAsia="仿宋_GB2312"/>
          <w:bCs w:val="0"/>
          <w:szCs w:val="16"/>
        </w:rPr>
        <w:t>个人设置</w:t>
      </w:r>
      <w:r>
        <w:tab/>
      </w:r>
      <w:r>
        <w:fldChar w:fldCharType="begin"/>
      </w:r>
      <w:r>
        <w:instrText xml:space="preserve"> PAGEREF _Toc1503368585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D4625B4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_Toc1970701140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cs="宋体"/>
          <w:bCs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bCs/>
          <w:szCs w:val="24"/>
        </w:rPr>
        <w:t>个人信息</w:t>
      </w:r>
      <w:r>
        <w:tab/>
      </w:r>
      <w:r>
        <w:fldChar w:fldCharType="begin"/>
      </w:r>
      <w:r>
        <w:instrText xml:space="preserve"> PAGEREF _Toc1970701140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C78594E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_Toc933772299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cs="宋体"/>
          <w:bCs/>
          <w:szCs w:val="24"/>
          <w:lang w:val="en-US" w:eastAsia="zh-CN"/>
        </w:rPr>
        <w:t>2.2、安全中心</w:t>
      </w:r>
      <w:r>
        <w:tab/>
      </w:r>
      <w:r>
        <w:fldChar w:fldCharType="begin"/>
      </w:r>
      <w:r>
        <w:instrText xml:space="preserve"> PAGEREF _Toc933772299 \h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6C791FC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_Toc100537017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三、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系统主流程及操作方法</w:t>
      </w:r>
      <w:r>
        <w:tab/>
      </w:r>
      <w:r>
        <w:fldChar w:fldCharType="begin"/>
      </w:r>
      <w:r>
        <w:instrText xml:space="preserve"> PAGEREF _Toc100537017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2EA6C48C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_Toc1803498177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1.选题管理</w:t>
      </w:r>
      <w:r>
        <w:tab/>
      </w:r>
      <w:r>
        <w:fldChar w:fldCharType="begin"/>
      </w:r>
      <w:r>
        <w:instrText xml:space="preserve"> PAGEREF _Toc1803498177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99024E2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_Toc1809667081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1.1课题</w:t>
      </w:r>
      <w:r>
        <w:tab/>
      </w:r>
      <w:r>
        <w:fldChar w:fldCharType="begin"/>
      </w:r>
      <w:r>
        <w:instrText xml:space="preserve"> PAGEREF _Toc1809667081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04F9809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_Toc263737906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1.1.1审核课题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需注意我校有导入选题和在线申报课题两种方式，两种方式选其一，如由学院导入选题则不用学生再申报课题导师也不用审核课题，建议提前和学院确认采取哪种方式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_Toc263737906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5E72145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_Toc236738734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1.2课题信息变更</w:t>
      </w:r>
      <w:r>
        <w:tab/>
      </w:r>
      <w:r>
        <w:fldChar w:fldCharType="begin"/>
      </w:r>
      <w:r>
        <w:instrText xml:space="preserve"> PAGEREF _Toc236738734 \h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415A1C8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_Toc1728188094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1.2.1审核课题信息变更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仅针对选题完成后需要修改课题的学生才会发起此申请，导师再进行审核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_Toc1728188094 \h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703436FC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_Toc940970183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2.过程管理</w:t>
      </w:r>
      <w:r>
        <w:tab/>
      </w:r>
      <w:r>
        <w:fldChar w:fldCharType="begin"/>
      </w:r>
      <w:r>
        <w:instrText xml:space="preserve"> PAGEREF _Toc940970183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807AABE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_Toc816289173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2.1开题报告</w:t>
      </w:r>
      <w:r>
        <w:tab/>
      </w:r>
      <w:r>
        <w:fldChar w:fldCharType="begin"/>
      </w:r>
      <w:r>
        <w:instrText xml:space="preserve"> PAGEREF _Toc816289173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DF25E73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_Toc1246593575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2.1.1审核开题报告</w:t>
      </w:r>
      <w:r>
        <w:tab/>
      </w:r>
      <w:r>
        <w:fldChar w:fldCharType="begin"/>
      </w:r>
      <w:r>
        <w:instrText xml:space="preserve"> PAGEREF _Toc1246593575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135A70F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_Toc647754893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2.2中期报告</w:t>
      </w:r>
      <w:r>
        <w:tab/>
      </w:r>
      <w:r>
        <w:fldChar w:fldCharType="begin"/>
      </w:r>
      <w:r>
        <w:instrText xml:space="preserve"> PAGEREF _Toc647754893 \h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12AE702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_Toc1221880008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2.2.1审核中期报告</w:t>
      </w:r>
      <w:r>
        <w:tab/>
      </w:r>
      <w:r>
        <w:fldChar w:fldCharType="begin"/>
      </w:r>
      <w:r>
        <w:instrText xml:space="preserve"> PAGEREF _Toc1221880008 \h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0DDADA5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_Toc1898661842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2.3</w:t>
      </w:r>
      <w:r>
        <w:rPr>
          <w:rFonts w:hint="eastAsia"/>
          <w:lang w:eastAsia="zh-CN"/>
        </w:rPr>
        <w:t>初稿</w:t>
      </w:r>
      <w:r>
        <w:tab/>
      </w:r>
      <w:r>
        <w:fldChar w:fldCharType="begin"/>
      </w:r>
      <w:r>
        <w:instrText xml:space="preserve"> PAGEREF _Toc1898661842 \h </w:instrText>
      </w:r>
      <w:r>
        <w:fldChar w:fldCharType="separate"/>
      </w:r>
      <w:r>
        <w:t>13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F9758D9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_Toc1350067721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2.3.1审核</w:t>
      </w:r>
      <w:r>
        <w:rPr>
          <w:rFonts w:hint="eastAsia"/>
          <w:lang w:eastAsia="zh-CN"/>
        </w:rPr>
        <w:t>初稿</w:t>
      </w:r>
      <w:r>
        <w:tab/>
      </w:r>
      <w:r>
        <w:fldChar w:fldCharType="begin"/>
      </w:r>
      <w:r>
        <w:instrText xml:space="preserve"> PAGEREF _Toc1350067721 \h </w:instrText>
      </w:r>
      <w:r>
        <w:fldChar w:fldCharType="separate"/>
      </w:r>
      <w:r>
        <w:t>13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21449EDE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_Toc275972645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2.4</w:t>
      </w:r>
      <w:r>
        <w:rPr>
          <w:rFonts w:hint="eastAsia"/>
          <w:lang w:eastAsia="zh-CN"/>
        </w:rPr>
        <w:t>查重稿</w:t>
      </w:r>
      <w:r>
        <w:tab/>
      </w:r>
      <w:r>
        <w:fldChar w:fldCharType="begin"/>
      </w:r>
      <w:r>
        <w:instrText xml:space="preserve"> PAGEREF _Toc275972645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5C0D943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_Toc1855050642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2.4.1审核</w:t>
      </w:r>
      <w:r>
        <w:rPr>
          <w:rFonts w:hint="eastAsia"/>
          <w:lang w:eastAsia="zh-CN"/>
        </w:rPr>
        <w:t>查重稿</w:t>
      </w:r>
      <w:r>
        <w:tab/>
      </w:r>
      <w:r>
        <w:fldChar w:fldCharType="begin"/>
      </w:r>
      <w:r>
        <w:instrText xml:space="preserve"> PAGEREF _Toc1855050642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5513EBE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_Toc668552948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3.评分管理</w:t>
      </w:r>
      <w:r>
        <w:tab/>
      </w:r>
      <w:r>
        <w:fldChar w:fldCharType="begin"/>
      </w:r>
      <w:r>
        <w:instrText xml:space="preserve"> PAGEREF _Toc668552948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82EF91D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_Toc734955932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3.1</w:t>
      </w:r>
      <w:r>
        <w:rPr>
          <w:rFonts w:hint="eastAsia"/>
          <w:lang w:val="en-US" w:eastAsia="zh-CN"/>
        </w:rPr>
        <w:t>查看总评</w:t>
      </w:r>
      <w:r>
        <w:tab/>
      </w:r>
      <w:r>
        <w:fldChar w:fldCharType="begin"/>
      </w:r>
      <w:r>
        <w:instrText xml:space="preserve"> PAGEREF _Toc734955932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9CCDA3F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_Toc78411580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3.1.1评分</w:t>
      </w:r>
      <w:r>
        <w:tab/>
      </w:r>
      <w:r>
        <w:fldChar w:fldCharType="begin"/>
      </w:r>
      <w:r>
        <w:instrText xml:space="preserve"> PAGEREF _Toc78411580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5D306FE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_Toc1455949449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4.</w:t>
      </w:r>
      <w:r>
        <w:rPr>
          <w:rFonts w:hint="eastAsia"/>
          <w:lang w:eastAsia="zh-CN"/>
        </w:rPr>
        <w:t>归档稿</w:t>
      </w:r>
      <w:r>
        <w:tab/>
      </w:r>
      <w:r>
        <w:fldChar w:fldCharType="begin"/>
      </w:r>
      <w:r>
        <w:instrText xml:space="preserve"> PAGEREF _Toc1455949449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9BF220F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_Toc1713715425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4.1</w:t>
      </w:r>
      <w:r>
        <w:rPr>
          <w:rFonts w:hint="eastAsia"/>
          <w:lang w:eastAsia="zh-CN"/>
        </w:rPr>
        <w:t>归档稿</w:t>
      </w:r>
      <w:r>
        <w:tab/>
      </w:r>
      <w:r>
        <w:fldChar w:fldCharType="begin"/>
      </w:r>
      <w:r>
        <w:instrText xml:space="preserve"> PAGEREF _Toc1713715425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230F2F0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_Toc364474411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4.1.1审核</w:t>
      </w:r>
      <w:r>
        <w:rPr>
          <w:rFonts w:hint="eastAsia"/>
          <w:lang w:eastAsia="zh-CN"/>
        </w:rPr>
        <w:t>归档稿</w:t>
      </w:r>
      <w:r>
        <w:tab/>
      </w:r>
      <w:r>
        <w:fldChar w:fldCharType="begin"/>
      </w:r>
      <w:r>
        <w:instrText xml:space="preserve"> PAGEREF _Toc364474411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8A2C843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_Toc1098064433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四、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信息管理</w:t>
      </w:r>
      <w:r>
        <w:tab/>
      </w:r>
      <w:r>
        <w:fldChar w:fldCharType="begin"/>
      </w:r>
      <w:r>
        <w:instrText xml:space="preserve"> PAGEREF _Toc1098064433 \h </w:instrText>
      </w:r>
      <w:r>
        <w:fldChar w:fldCharType="separate"/>
      </w:r>
      <w:r>
        <w:t>18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5B28B0E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_Toc1841946760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/>
          <w:szCs w:val="24"/>
        </w:rPr>
        <w:t>1、站内信</w:t>
      </w:r>
      <w:r>
        <w:tab/>
      </w:r>
      <w:r>
        <w:fldChar w:fldCharType="begin"/>
      </w:r>
      <w:r>
        <w:instrText xml:space="preserve"> PAGEREF _Toc1841946760 \h </w:instrText>
      </w:r>
      <w:r>
        <w:fldChar w:fldCharType="separate"/>
      </w:r>
      <w:r>
        <w:t>18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A6B0C7B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_Toc1622423815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/>
          <w:szCs w:val="28"/>
        </w:rPr>
        <w:t>2、公告管理</w:t>
      </w:r>
      <w:r>
        <w:tab/>
      </w:r>
      <w:r>
        <w:fldChar w:fldCharType="begin"/>
      </w:r>
      <w:r>
        <w:instrText xml:space="preserve"> PAGEREF _Toc1622423815 \h </w:instrText>
      </w:r>
      <w:r>
        <w:fldChar w:fldCharType="separate"/>
      </w:r>
      <w:r>
        <w:t>19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F93883A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_Toc1477192746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五、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常见问题</w:t>
      </w:r>
      <w:r>
        <w:tab/>
      </w:r>
      <w:r>
        <w:fldChar w:fldCharType="begin"/>
      </w:r>
      <w:r>
        <w:instrText xml:space="preserve"> PAGEREF _Toc1477192746 \h </w:instrText>
      </w:r>
      <w:r>
        <w:fldChar w:fldCharType="separate"/>
      </w:r>
      <w:r>
        <w:t>19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7F932EF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  <w:r>
        <w:br w:type="page"/>
      </w:r>
    </w:p>
    <w:p w14:paraId="1F66201A">
      <w:pPr>
        <w:pStyle w:val="2"/>
        <w:numPr>
          <w:ilvl w:val="0"/>
          <w:numId w:val="1"/>
        </w:numPr>
        <w:spacing w:before="0" w:after="0" w:line="360" w:lineRule="auto"/>
        <w:ind w:left="900" w:leftChars="0" w:firstLineChars="0"/>
      </w:pPr>
      <w:bookmarkStart w:id="13" w:name="_Toc14559"/>
      <w:bookmarkStart w:id="14" w:name="_Toc1819545183"/>
      <w:bookmarkStart w:id="15" w:name="_Toc280296008"/>
      <w:bookmarkStart w:id="16" w:name="_Toc1211490680"/>
      <w:bookmarkStart w:id="17" w:name="_Toc664083933"/>
      <w:bookmarkStart w:id="18" w:name="_Toc21120"/>
      <w:bookmarkStart w:id="19" w:name="_Toc12528"/>
      <w:bookmarkStart w:id="20" w:name="_Toc23876"/>
      <w:bookmarkStart w:id="21" w:name="_Toc21536"/>
      <w:r>
        <w:rPr>
          <w:rFonts w:hint="eastAsia"/>
        </w:rPr>
        <w:t>系统登录</w:t>
      </w:r>
      <w:bookmarkEnd w:id="13"/>
      <w:bookmarkEnd w:id="14"/>
      <w:r>
        <w:rPr>
          <w:rFonts w:hint="eastAsia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两种登录方式任选其一</w:t>
      </w:r>
      <w:r>
        <w:rPr>
          <w:rFonts w:hint="eastAsia"/>
          <w:lang w:eastAsia="zh-CN"/>
        </w:rPr>
        <w:t>）</w:t>
      </w:r>
      <w:bookmarkEnd w:id="15"/>
      <w:bookmarkEnd w:id="16"/>
      <w:bookmarkEnd w:id="17"/>
    </w:p>
    <w:p w14:paraId="0E0CFC77">
      <w:pPr>
        <w:rPr>
          <w:rFonts w:hint="eastAsia" w:ascii="宋体" w:hAnsi="宋体" w:cs="宋体"/>
          <w:color w:val="000000"/>
        </w:rPr>
      </w:pP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登录方式1：门户网站登录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Cambria" w:hAnsi="Cambria" w:cs="Times New Roman"/>
          <w:b/>
          <w:bCs/>
          <w:color w:val="FF0000"/>
          <w:kern w:val="2"/>
          <w:sz w:val="32"/>
          <w:szCs w:val="32"/>
          <w:lang w:val="en-US" w:eastAsia="zh-CN" w:bidi="ar-SA"/>
        </w:rPr>
        <w:t>推荐登录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宋体" w:hAnsi="宋体" w:cs="宋体"/>
        </w:rPr>
        <w:t>打开</w:t>
      </w:r>
      <w:r>
        <w:rPr>
          <w:rFonts w:hint="eastAsia" w:ascii="宋体" w:hAnsi="宋体" w:cs="宋体"/>
          <w:lang w:val="en-US" w:eastAsia="zh-CN"/>
        </w:rPr>
        <w:t>公共数据库地址</w:t>
      </w:r>
      <w:r>
        <w:rPr>
          <w:rFonts w:hint="eastAsia" w:ascii="宋体" w:hAnsi="宋体" w:cs="宋体"/>
        </w:rPr>
        <w:t>https://portal2023.ecnu.edu.cn/portal/home，输入账号和密码</w:t>
      </w:r>
      <w:r>
        <w:rPr>
          <w:rFonts w:hint="eastAsia" w:ascii="宋体" w:hAnsi="宋体" w:cs="宋体"/>
          <w:lang w:eastAsia="zh-CN"/>
        </w:rPr>
        <w:t>，</w:t>
      </w:r>
      <w:r>
        <w:rPr>
          <w:rFonts w:hint="eastAsia" w:ascii="宋体" w:hAnsi="宋体" w:cs="宋体"/>
          <w:color w:val="000000"/>
        </w:rPr>
        <w:t>点击登录即可。</w:t>
      </w:r>
    </w:p>
    <w:p w14:paraId="153E81F8">
      <w:pPr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  <w:lang w:eastAsia="zh-CN"/>
        </w:rPr>
        <w:drawing>
          <wp:inline distT="0" distB="0" distL="114300" distR="114300">
            <wp:extent cx="5268595" cy="2678430"/>
            <wp:effectExtent l="0" t="0" r="14605" b="13970"/>
            <wp:docPr id="10" name="图片 10" descr="wecom-temp-469366-12f25dd1475b8cf252ff1d86fedf38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ecom-temp-469366-12f25dd1475b8cf252ff1d86fedf38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B4858"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进入公共数据库后，点击“教育教学管理平台”，再点击左侧毕业论文就可以直接跳转进毕设系统内进行操作</w:t>
      </w:r>
    </w:p>
    <w:p w14:paraId="63D48B18"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63515" cy="1939290"/>
            <wp:effectExtent l="0" t="0" r="13335" b="3810"/>
            <wp:docPr id="9" name="图片 9" descr="b126d7e4-7546-4736-9cde-ad71e1332a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126d7e4-7546-4736-9cde-ad71e1332ad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6D640"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3238500" cy="6038850"/>
            <wp:effectExtent l="0" t="0" r="12700" b="6350"/>
            <wp:docPr id="28" name="图片 28" descr="wecom-temp-40820-cbac17f4240340056b8fdfcfc208b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wecom-temp-40820-cbac17f4240340056b8fdfcfc208b5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2A9E5">
      <w:pPr>
        <w:rPr>
          <w:rFonts w:hint="eastAsia" w:ascii="宋体" w:hAnsi="宋体" w:cs="宋体"/>
        </w:rPr>
      </w:pP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登录方式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毕设通用地址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</w:t>
      </w:r>
    </w:p>
    <w:p w14:paraId="2620878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打开网址https://vgms.fanyu.com/，选择学校“华东师范大学”，输入账号和密码（账号为学号/工号，初始密码：</w:t>
      </w:r>
      <w:r>
        <w:rPr>
          <w:rFonts w:hint="eastAsia" w:ascii="宋体" w:hAnsi="宋体" w:eastAsia="宋体" w:cs="宋体"/>
          <w:color w:val="303030"/>
          <w:sz w:val="24"/>
          <w:szCs w:val="28"/>
          <w:lang w:val="en-US" w:eastAsia="zh-CN"/>
        </w:rPr>
        <w:t>Hd@sf10269</w:t>
      </w:r>
      <w:r>
        <w:rPr>
          <w:rFonts w:hint="eastAsia" w:ascii="宋体" w:hAnsi="宋体" w:eastAsia="宋体" w:cs="宋体"/>
          <w:color w:val="303030"/>
          <w:sz w:val="24"/>
          <w:szCs w:val="28"/>
        </w:rPr>
        <w:t>），点击登录即可。</w:t>
      </w:r>
    </w:p>
    <w:p w14:paraId="406C3A1C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0500" cy="2176145"/>
            <wp:effectExtent l="0" t="0" r="12700" b="825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BC9DB3">
      <w:pPr>
        <w:jc w:val="left"/>
        <w:rPr>
          <w:rFonts w:hint="eastAsia" w:ascii="宋体" w:hAnsi="宋体" w:cs="宋体"/>
          <w:color w:val="FF0000"/>
        </w:rPr>
      </w:pPr>
      <w:r>
        <w:rPr>
          <w:rFonts w:hint="eastAsia" w:ascii="宋体" w:hAnsi="宋体" w:cs="宋体"/>
          <w:color w:val="FF0000"/>
        </w:rPr>
        <w:t>注意：</w:t>
      </w:r>
      <w:r>
        <w:rPr>
          <w:rFonts w:hint="eastAsia" w:ascii="宋体" w:hAnsi="宋体" w:cs="宋体"/>
          <w:color w:val="FF0000"/>
          <w:lang w:eastAsia="zh-CN"/>
        </w:rPr>
        <w:t>如果</w:t>
      </w:r>
      <w:r>
        <w:rPr>
          <w:rFonts w:hint="eastAsia" w:ascii="宋体" w:hAnsi="宋体" w:cs="宋体"/>
          <w:color w:val="FF0000"/>
        </w:rPr>
        <w:t>学生</w:t>
      </w:r>
      <w:r>
        <w:rPr>
          <w:rFonts w:hint="eastAsia" w:ascii="宋体" w:hAnsi="宋体" w:cs="宋体"/>
          <w:color w:val="FF0000"/>
          <w:lang w:eastAsia="zh-CN"/>
        </w:rPr>
        <w:t>角色</w:t>
      </w:r>
      <w:r>
        <w:rPr>
          <w:rFonts w:hint="eastAsia" w:ascii="宋体" w:hAnsi="宋体" w:cs="宋体"/>
          <w:color w:val="FF0000"/>
        </w:rPr>
        <w:t>是双学位，还需要选择一次组织</w:t>
      </w:r>
      <w:r>
        <w:rPr>
          <w:rFonts w:hint="eastAsia" w:ascii="宋体" w:hAnsi="宋体" w:cs="宋体"/>
          <w:color w:val="FF0000"/>
          <w:lang w:eastAsia="zh-CN"/>
        </w:rPr>
        <w:t>；如果教师是多角色，还需要选择一次角色；</w:t>
      </w:r>
    </w:p>
    <w:p w14:paraId="4DC1C1B7">
      <w:pPr>
        <w:jc w:val="left"/>
        <w:rPr>
          <w:rFonts w:hint="eastAsia"/>
        </w:rPr>
      </w:pPr>
      <w:r>
        <w:drawing>
          <wp:inline distT="0" distB="0" distL="114300" distR="114300">
            <wp:extent cx="5268595" cy="2616835"/>
            <wp:effectExtent l="0" t="0" r="14605" b="24765"/>
            <wp:docPr id="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0ED98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</w:rPr>
      </w:pPr>
      <w:bookmarkStart w:id="22" w:name="_Toc1503368585"/>
      <w:r>
        <w:rPr>
          <w:rFonts w:hint="eastAsia" w:ascii="仿宋_GB2312" w:eastAsia="仿宋_GB2312"/>
          <w:b/>
          <w:bCs w:val="0"/>
          <w:sz w:val="28"/>
          <w:szCs w:val="16"/>
        </w:rPr>
        <w:t>个人</w:t>
      </w:r>
      <w:bookmarkEnd w:id="18"/>
      <w:r>
        <w:rPr>
          <w:rFonts w:hint="eastAsia" w:ascii="仿宋_GB2312" w:eastAsia="仿宋_GB2312"/>
          <w:b/>
          <w:bCs w:val="0"/>
          <w:sz w:val="28"/>
          <w:szCs w:val="16"/>
        </w:rPr>
        <w:t>设置</w:t>
      </w:r>
      <w:bookmarkEnd w:id="19"/>
      <w:bookmarkEnd w:id="20"/>
      <w:bookmarkEnd w:id="21"/>
      <w:bookmarkEnd w:id="22"/>
    </w:p>
    <w:p w14:paraId="7F23467B">
      <w:pPr>
        <w:pStyle w:val="3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3" w:name="_Toc1970701140"/>
      <w:bookmarkStart w:id="24" w:name="_Toc775"/>
      <w:bookmarkStart w:id="25" w:name="_Toc21086"/>
      <w:bookmarkStart w:id="26" w:name="_Toc3167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个人信息</w:t>
      </w:r>
      <w:bookmarkEnd w:id="23"/>
      <w:bookmarkEnd w:id="24"/>
      <w:bookmarkEnd w:id="25"/>
      <w:bookmarkEnd w:id="26"/>
    </w:p>
    <w:p w14:paraId="495F0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点击左侧菜单进入“个人设置—个人信息”，这里可以填写自己的个人信息、电子签名等。</w:t>
      </w:r>
      <w:bookmarkStart w:id="81" w:name="_GoBack"/>
      <w:bookmarkEnd w:id="81"/>
    </w:p>
    <w:p w14:paraId="3F74DE20">
      <w:r>
        <w:drawing>
          <wp:inline distT="0" distB="0" distL="114300" distR="114300">
            <wp:extent cx="5272405" cy="2214880"/>
            <wp:effectExtent l="0" t="0" r="6350" b="889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0D116">
      <w:pPr>
        <w:pStyle w:val="3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7" w:name="_Toc933772299"/>
      <w:bookmarkStart w:id="28" w:name="_Toc27356"/>
      <w:bookmarkStart w:id="29" w:name="_Toc32531"/>
      <w:bookmarkStart w:id="30" w:name="_Toc2094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2.2、安全中心</w:t>
      </w:r>
      <w:bookmarkEnd w:id="27"/>
      <w:bookmarkEnd w:id="28"/>
      <w:bookmarkEnd w:id="29"/>
      <w:bookmarkEnd w:id="30"/>
    </w:p>
    <w:p w14:paraId="3A3A2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点击左侧菜单进入“个人设置——安全中心”。</w:t>
      </w:r>
    </w:p>
    <w:p w14:paraId="59946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可根据自己需求在“个人设置-安全中心”中进行绑定安全邮箱、绑定手机号、绑定微信、密码修改等操作。绑定后，可用于找回密码或系统登录</w:t>
      </w:r>
      <w:r>
        <w:rPr>
          <w:rFonts w:hint="eastAsia" w:ascii="宋体" w:hAnsi="宋体" w:cs="宋体"/>
        </w:rPr>
        <w:t>。</w:t>
      </w:r>
    </w:p>
    <w:p w14:paraId="102579BB"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4785" cy="2598420"/>
            <wp:effectExtent l="0" t="0" r="18415" b="17780"/>
            <wp:docPr id="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A4B2C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31" w:name="_Toc24407"/>
      <w:bookmarkStart w:id="32" w:name="_Toc6721"/>
      <w:bookmarkStart w:id="33" w:name="_Toc100537017"/>
      <w:bookmarkStart w:id="34" w:name="_Toc27008"/>
      <w:bookmarkStart w:id="35" w:name="_Toc25080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系统主流程及操作方法</w:t>
      </w:r>
      <w:bookmarkEnd w:id="31"/>
      <w:bookmarkEnd w:id="32"/>
      <w:bookmarkEnd w:id="33"/>
      <w:bookmarkEnd w:id="34"/>
      <w:bookmarkEnd w:id="35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 xml:space="preserve"> </w:t>
      </w:r>
    </w:p>
    <w:p w14:paraId="788DE0A6">
      <w:pPr>
        <w:pStyle w:val="2"/>
        <w:jc w:val="left"/>
      </w:pPr>
      <w:bookmarkStart w:id="36" w:name="_Toc1803498177"/>
      <w:r>
        <w:rPr>
          <w:u w:color="auto"/>
        </w:rPr>
        <w:t>1.选题管理</w:t>
      </w:r>
      <w:bookmarkEnd w:id="36"/>
    </w:p>
    <w:p w14:paraId="1A872ADA">
      <w:pPr>
        <w:pStyle w:val="3"/>
        <w:jc w:val="left"/>
      </w:pPr>
      <w:bookmarkStart w:id="37" w:name="_Toc1809667081"/>
      <w:r>
        <w:rPr>
          <w:u w:color="auto"/>
        </w:rPr>
        <w:t>1.1课题</w:t>
      </w:r>
      <w:bookmarkEnd w:id="37"/>
    </w:p>
    <w:p w14:paraId="7401467D">
      <w:pPr>
        <w:pStyle w:val="4"/>
        <w:jc w:val="left"/>
      </w:pPr>
      <w:bookmarkStart w:id="38" w:name="_Toc263737906"/>
      <w:r>
        <w:rPr>
          <w:u w:color="auto"/>
        </w:rPr>
        <w:t>1.1.1审核课题</w:t>
      </w:r>
      <w:r>
        <w:rPr>
          <w:rFonts w:hint="eastAsia"/>
          <w:u w:color="auto"/>
          <w:lang w:eastAsia="zh-CN"/>
        </w:rPr>
        <w:t>（</w:t>
      </w:r>
      <w:r>
        <w:rPr>
          <w:rFonts w:hint="eastAsia"/>
          <w:color w:val="FF0000"/>
          <w:u w:color="auto"/>
          <w:lang w:val="en-US" w:eastAsia="zh-CN"/>
        </w:rPr>
        <w:t>需注意我校有导入选题和在线申报课题两种方式，两种方式选其一，如由学院导入选题则不用学生再申报课题导师也不用审核课题，建议提前和学院确认采取哪种方式</w:t>
      </w:r>
      <w:r>
        <w:rPr>
          <w:rFonts w:hint="eastAsia"/>
          <w:u w:color="auto"/>
          <w:lang w:eastAsia="zh-CN"/>
        </w:rPr>
        <w:t>）</w:t>
      </w:r>
      <w:bookmarkEnd w:id="38"/>
    </w:p>
    <w:p w14:paraId="3B477730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用户点击左侧菜单进入“选题管理”—“课题”—“审核课题”页面。</w:t>
      </w:r>
    </w:p>
    <w:p w14:paraId="49760032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点击页面“审核”按钮即可跳转审核详情界面——选择通过或不通过，填写审核意见——点击“确认”。</w:t>
      </w:r>
    </w:p>
    <w:p w14:paraId="39F8385F">
      <w:pPr>
        <w:jc w:val="center"/>
      </w:pPr>
      <w:r>
        <w:rPr>
          <w:u w:color="auto"/>
        </w:rPr>
        <w:drawing>
          <wp:inline distT="0" distB="0" distL="0" distR="0">
            <wp:extent cx="5267325" cy="762000"/>
            <wp:effectExtent l="0" t="0" r="9525" b="0"/>
            <wp:docPr id="1" name="Drawing 1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1" descr="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75DB6">
      <w:pPr>
        <w:jc w:val="center"/>
      </w:pPr>
      <w:r>
        <w:rPr>
          <w:u w:color="auto"/>
        </w:rPr>
        <w:drawing>
          <wp:inline distT="0" distB="0" distL="0" distR="0">
            <wp:extent cx="5267325" cy="2705100"/>
            <wp:effectExtent l="0" t="0" r="9525" b="0"/>
            <wp:docPr id="1214211189" name="Drawing 2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211189" name="Drawing 2" descr="Generate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F4A6B">
      <w:pPr>
        <w:jc w:val="center"/>
      </w:pPr>
      <w:r>
        <w:rPr>
          <w:u w:color="auto"/>
        </w:rPr>
        <w:drawing>
          <wp:inline distT="0" distB="0" distL="0" distR="0">
            <wp:extent cx="5267325" cy="3276600"/>
            <wp:effectExtent l="0" t="0" r="9525" b="0"/>
            <wp:docPr id="586884112" name="Drawing 3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884112" name="Drawing 3" descr="Generate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DF265">
      <w:pPr>
        <w:pStyle w:val="3"/>
        <w:jc w:val="left"/>
      </w:pPr>
      <w:bookmarkStart w:id="39" w:name="_Toc236738734"/>
      <w:r>
        <w:rPr>
          <w:u w:color="auto"/>
        </w:rPr>
        <w:t>1.2课题信息变更</w:t>
      </w:r>
      <w:bookmarkEnd w:id="39"/>
    </w:p>
    <w:p w14:paraId="49E4F5B2">
      <w:pPr>
        <w:pStyle w:val="4"/>
        <w:jc w:val="left"/>
      </w:pPr>
      <w:bookmarkStart w:id="40" w:name="_Toc1728188094"/>
      <w:r>
        <w:rPr>
          <w:u w:color="auto"/>
        </w:rPr>
        <w:t>1.2.1审核课题信息变更</w:t>
      </w:r>
      <w:r>
        <w:rPr>
          <w:rFonts w:hint="eastAsia"/>
          <w:u w:color="auto"/>
          <w:lang w:eastAsia="zh-CN"/>
        </w:rPr>
        <w:t>（</w:t>
      </w:r>
      <w:r>
        <w:rPr>
          <w:rFonts w:hint="eastAsia"/>
          <w:color w:val="FF0000"/>
          <w:u w:color="auto"/>
          <w:lang w:val="en-US" w:eastAsia="zh-CN"/>
        </w:rPr>
        <w:t>仅针对选题完成后需要修改课题的学生才会发起此申请，导师再进行审核</w:t>
      </w:r>
      <w:r>
        <w:rPr>
          <w:rFonts w:hint="eastAsia"/>
          <w:u w:color="auto"/>
          <w:lang w:eastAsia="zh-CN"/>
        </w:rPr>
        <w:t>）</w:t>
      </w:r>
      <w:bookmarkEnd w:id="40"/>
    </w:p>
    <w:p w14:paraId="5F22F37C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选择左边菜单栏“选题管理”，点击“课题信息变更”，审核课题信息变更.</w:t>
      </w:r>
    </w:p>
    <w:p w14:paraId="6BD6DECB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点击页面“审核”按钮即可跳转审核详情界面，选择通过或不通过，填写审核意见后点击“确定”。</w:t>
      </w:r>
    </w:p>
    <w:p w14:paraId="4DE28068">
      <w:pPr>
        <w:jc w:val="center"/>
      </w:pPr>
      <w:r>
        <w:rPr>
          <w:u w:color="auto"/>
        </w:rPr>
        <w:drawing>
          <wp:inline distT="0" distB="0" distL="0" distR="0">
            <wp:extent cx="5267325" cy="638175"/>
            <wp:effectExtent l="0" t="0" r="9525" b="9525"/>
            <wp:docPr id="4" name="Drawing 4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4" descr="Generate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1F214">
      <w:pPr>
        <w:jc w:val="center"/>
      </w:pPr>
      <w:r>
        <w:rPr>
          <w:u w:color="auto"/>
        </w:rPr>
        <w:drawing>
          <wp:inline distT="0" distB="0" distL="0" distR="0">
            <wp:extent cx="5267325" cy="2590800"/>
            <wp:effectExtent l="0" t="0" r="9525" b="0"/>
            <wp:docPr id="5" name="Drawing 5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5" descr="Generate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BB1D2">
      <w:pPr>
        <w:jc w:val="center"/>
      </w:pPr>
      <w:r>
        <w:rPr>
          <w:u w:color="auto"/>
        </w:rPr>
        <w:drawing>
          <wp:inline distT="0" distB="0" distL="0" distR="0">
            <wp:extent cx="5267325" cy="3400425"/>
            <wp:effectExtent l="0" t="0" r="9525" b="9525"/>
            <wp:docPr id="54241214" name="Drawing 6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41214" name="Drawing 6" descr="Generated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FDDB2">
      <w:pPr>
        <w:pStyle w:val="2"/>
        <w:jc w:val="left"/>
      </w:pPr>
      <w:bookmarkStart w:id="41" w:name="_Toc940970183"/>
      <w:r>
        <w:rPr>
          <w:u w:color="auto"/>
        </w:rPr>
        <w:t>2.过程管理</w:t>
      </w:r>
      <w:bookmarkEnd w:id="41"/>
    </w:p>
    <w:p w14:paraId="0CFD9989">
      <w:pPr>
        <w:pStyle w:val="3"/>
        <w:jc w:val="left"/>
      </w:pPr>
      <w:bookmarkStart w:id="42" w:name="_Toc816289173"/>
      <w:r>
        <w:rPr>
          <w:u w:color="auto"/>
        </w:rPr>
        <w:t>2.1开题报告</w:t>
      </w:r>
      <w:bookmarkEnd w:id="42"/>
    </w:p>
    <w:p w14:paraId="553F6E7A">
      <w:pPr>
        <w:pStyle w:val="4"/>
        <w:jc w:val="left"/>
      </w:pPr>
      <w:bookmarkStart w:id="43" w:name="_Toc1246593575"/>
      <w:r>
        <w:rPr>
          <w:u w:color="auto"/>
        </w:rPr>
        <w:t>2.1.1审核开题报告</w:t>
      </w:r>
      <w:bookmarkEnd w:id="43"/>
    </w:p>
    <w:p w14:paraId="37EEB8E5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点击左侧菜单进入“过程管理”—“开题报告”—“审核开题报告”页面。</w:t>
      </w:r>
    </w:p>
    <w:p w14:paraId="608F78C8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点击“审核”按钮，进入审核详情页面，可查看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学生</w:t>
      </w:r>
      <w:r>
        <w:rPr>
          <w:rFonts w:ascii="宋体" w:hAnsi="宋体" w:eastAsia="宋体" w:cs="宋体"/>
          <w:sz w:val="21"/>
          <w:u w:color="auto"/>
        </w:rPr>
        <w:t>的开题报告信息，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填写</w:t>
      </w:r>
      <w:r>
        <w:rPr>
          <w:rFonts w:ascii="宋体" w:hAnsi="宋体" w:eastAsia="宋体" w:cs="宋体"/>
          <w:sz w:val="21"/>
          <w:u w:color="auto"/>
        </w:rPr>
        <w:t>审核意见</w:t>
      </w:r>
      <w:r>
        <w:rPr>
          <w:rFonts w:hint="eastAsia" w:ascii="宋体" w:hAnsi="宋体" w:cs="宋体"/>
          <w:sz w:val="21"/>
          <w:u w:color="auto"/>
          <w:lang w:eastAsia="zh-CN"/>
        </w:rPr>
        <w:t>（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不少于50字符</w:t>
      </w:r>
      <w:r>
        <w:rPr>
          <w:rFonts w:hint="eastAsia" w:ascii="宋体" w:hAnsi="宋体" w:cs="宋体"/>
          <w:sz w:val="21"/>
          <w:u w:color="auto"/>
          <w:lang w:eastAsia="zh-CN"/>
        </w:rPr>
        <w:t>），</w:t>
      </w:r>
      <w:r>
        <w:rPr>
          <w:rFonts w:ascii="宋体" w:hAnsi="宋体" w:eastAsia="宋体" w:cs="宋体"/>
          <w:sz w:val="21"/>
          <w:u w:color="auto"/>
        </w:rPr>
        <w:t>审核</w:t>
      </w:r>
      <w:r>
        <w:rPr>
          <w:rFonts w:hint="eastAsia" w:ascii="宋体" w:hAnsi="宋体" w:cs="宋体"/>
          <w:sz w:val="21"/>
          <w:u w:color="auto"/>
          <w:lang w:eastAsia="zh-CN"/>
        </w:rPr>
        <w:t>“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通过</w:t>
      </w:r>
      <w:r>
        <w:rPr>
          <w:rFonts w:hint="eastAsia" w:ascii="宋体" w:hAnsi="宋体" w:cs="宋体"/>
          <w:sz w:val="21"/>
          <w:u w:color="auto"/>
          <w:lang w:eastAsia="zh-CN"/>
        </w:rPr>
        <w:t>”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或“不通过”</w:t>
      </w:r>
      <w:r>
        <w:rPr>
          <w:rFonts w:ascii="宋体" w:hAnsi="宋体" w:eastAsia="宋体" w:cs="宋体"/>
          <w:sz w:val="21"/>
          <w:u w:color="auto"/>
        </w:rPr>
        <w:t>，点击“确定”审核完成。</w:t>
      </w:r>
    </w:p>
    <w:p w14:paraId="53435993">
      <w:pPr>
        <w:jc w:val="center"/>
      </w:pPr>
      <w:r>
        <w:rPr>
          <w:u w:color="auto"/>
        </w:rPr>
        <w:drawing>
          <wp:inline distT="0" distB="0" distL="0" distR="0">
            <wp:extent cx="5267325" cy="609600"/>
            <wp:effectExtent l="0" t="0" r="9525" b="0"/>
            <wp:docPr id="7" name="Drawing 7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7" descr="Generated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20F6B">
      <w:pPr>
        <w:jc w:val="center"/>
      </w:pPr>
      <w:r>
        <w:rPr>
          <w:u w:color="auto"/>
        </w:rPr>
        <w:drawing>
          <wp:inline distT="0" distB="0" distL="0" distR="0">
            <wp:extent cx="5267325" cy="2590800"/>
            <wp:effectExtent l="0" t="0" r="9525" b="0"/>
            <wp:docPr id="1288803558" name="Drawing 8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803558" name="Drawing 8" descr="Generated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39FBC">
      <w:pPr>
        <w:jc w:val="center"/>
      </w:pPr>
      <w:r>
        <w:drawing>
          <wp:inline distT="0" distB="0" distL="114300" distR="114300">
            <wp:extent cx="5273040" cy="2087245"/>
            <wp:effectExtent l="0" t="0" r="10160" b="2095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FB6A2">
      <w:pPr>
        <w:pStyle w:val="3"/>
        <w:jc w:val="left"/>
      </w:pPr>
      <w:bookmarkStart w:id="44" w:name="_Toc647754893"/>
      <w:r>
        <w:rPr>
          <w:u w:color="auto"/>
        </w:rPr>
        <w:t>2.2中期报告</w:t>
      </w:r>
      <w:bookmarkEnd w:id="44"/>
    </w:p>
    <w:p w14:paraId="41C33A14">
      <w:pPr>
        <w:pStyle w:val="4"/>
        <w:jc w:val="left"/>
      </w:pPr>
      <w:bookmarkStart w:id="45" w:name="_Toc1221880008"/>
      <w:r>
        <w:rPr>
          <w:u w:color="auto"/>
        </w:rPr>
        <w:t>2.2.1审核中期报告</w:t>
      </w:r>
      <w:bookmarkEnd w:id="45"/>
    </w:p>
    <w:p w14:paraId="41C5FE99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点击左侧菜单进入“过程管理”—“中期报告”—“审核中期报告”页面。</w:t>
      </w:r>
    </w:p>
    <w:p w14:paraId="5938F22F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ascii="宋体" w:hAnsi="宋体" w:eastAsia="宋体" w:cs="宋体"/>
          <w:sz w:val="21"/>
          <w:u w:color="auto"/>
        </w:rPr>
        <w:t>点击“审核”按钮，在弹出页面中，可查看中期报告信息，并进行审核意见以及审核通过与否的选择后，点击“确定”审核完成。</w:t>
      </w:r>
    </w:p>
    <w:p w14:paraId="7EC896F5">
      <w:pPr>
        <w:keepLines/>
        <w:ind w:firstLine="420" w:firstLineChars="200"/>
        <w:jc w:val="left"/>
        <w:rPr>
          <w:rFonts w:hint="default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注意：学生可提交多次中期报告内容，导师也需要对应审核多次。</w:t>
      </w:r>
    </w:p>
    <w:p w14:paraId="28D98134">
      <w:pPr>
        <w:jc w:val="center"/>
      </w:pPr>
      <w:r>
        <w:drawing>
          <wp:inline distT="0" distB="0" distL="114300" distR="114300">
            <wp:extent cx="5266690" cy="2537460"/>
            <wp:effectExtent l="0" t="0" r="10160" b="1524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3101340"/>
            <wp:effectExtent l="0" t="0" r="5715" b="3810"/>
            <wp:docPr id="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0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191D9">
      <w:pPr>
        <w:pStyle w:val="3"/>
        <w:jc w:val="left"/>
        <w:rPr>
          <w:rFonts w:hint="eastAsia" w:eastAsia="宋体"/>
          <w:lang w:eastAsia="zh-CN"/>
        </w:rPr>
      </w:pPr>
      <w:bookmarkStart w:id="46" w:name="_Toc1898661842"/>
      <w:r>
        <w:rPr>
          <w:u w:color="auto"/>
        </w:rPr>
        <w:t>2.3</w:t>
      </w:r>
      <w:r>
        <w:rPr>
          <w:rFonts w:hint="eastAsia"/>
          <w:u w:color="auto"/>
          <w:lang w:eastAsia="zh-CN"/>
        </w:rPr>
        <w:t>初稿</w:t>
      </w:r>
      <w:bookmarkEnd w:id="46"/>
    </w:p>
    <w:p w14:paraId="5657AE19">
      <w:pPr>
        <w:pStyle w:val="4"/>
        <w:jc w:val="left"/>
        <w:rPr>
          <w:rFonts w:hint="eastAsia" w:eastAsia="宋体"/>
          <w:lang w:eastAsia="zh-CN"/>
        </w:rPr>
      </w:pPr>
      <w:bookmarkStart w:id="47" w:name="_Toc1350067721"/>
      <w:r>
        <w:rPr>
          <w:u w:color="auto"/>
        </w:rPr>
        <w:t>2.3.1审核</w:t>
      </w:r>
      <w:r>
        <w:rPr>
          <w:rFonts w:hint="eastAsia"/>
          <w:u w:color="auto"/>
          <w:lang w:eastAsia="zh-CN"/>
        </w:rPr>
        <w:t>初稿</w:t>
      </w:r>
      <w:bookmarkEnd w:id="47"/>
    </w:p>
    <w:p w14:paraId="5DA60245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点击左侧菜单进入“过程管理”—“</w:t>
      </w:r>
      <w:r>
        <w:rPr>
          <w:rFonts w:hint="eastAsia" w:ascii="宋体" w:hAnsi="宋体" w:cs="宋体"/>
          <w:sz w:val="21"/>
          <w:u w:color="auto"/>
          <w:lang w:eastAsia="zh-CN"/>
        </w:rPr>
        <w:t>初稿</w:t>
      </w:r>
      <w:r>
        <w:rPr>
          <w:rFonts w:ascii="宋体" w:hAnsi="宋体" w:eastAsia="宋体" w:cs="宋体"/>
          <w:sz w:val="21"/>
          <w:u w:color="auto"/>
        </w:rPr>
        <w:t>”—“审核</w:t>
      </w:r>
      <w:r>
        <w:rPr>
          <w:rFonts w:hint="eastAsia" w:ascii="宋体" w:hAnsi="宋体" w:cs="宋体"/>
          <w:sz w:val="21"/>
          <w:u w:color="auto"/>
          <w:lang w:eastAsia="zh-CN"/>
        </w:rPr>
        <w:t>初稿</w:t>
      </w:r>
      <w:r>
        <w:rPr>
          <w:rFonts w:ascii="宋体" w:hAnsi="宋体" w:eastAsia="宋体" w:cs="宋体"/>
          <w:sz w:val="21"/>
          <w:u w:color="auto"/>
        </w:rPr>
        <w:t>”页面。</w:t>
      </w:r>
    </w:p>
    <w:p w14:paraId="3BE3528B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ascii="宋体" w:hAnsi="宋体" w:eastAsia="宋体" w:cs="宋体"/>
          <w:sz w:val="21"/>
          <w:u w:color="auto"/>
        </w:rPr>
        <w:t>点击“审核”按钮，在弹出页面中，可查看稿件信息，点击页面的“预览”按钮，可在线预览稿件，点击页面的“下载”按钮可下载稿件，点击“批注”可对稿件进行在线批注。并进行审核意见以及审核通过与否的选择后，点击“确定”审核完成。</w:t>
      </w:r>
    </w:p>
    <w:p w14:paraId="002FA21C">
      <w:pPr>
        <w:keepLines/>
        <w:ind w:firstLine="420" w:firstLineChars="200"/>
        <w:jc w:val="left"/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初稿检测模式：每位学⽣⼀次免费格式检测次数、⼀次免费查重检测次数，两类检测都由学⽣提交检测；⼀次免费AIGC检测次数由指导教师提交检测，初稿对三类检测没有强制检测限制</w:t>
      </w: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，</w:t>
      </w: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以导师意⻅为准！</w:t>
      </w:r>
    </w:p>
    <w:p w14:paraId="0966613C">
      <w:pPr>
        <w:keepLines/>
        <w:ind w:firstLine="420" w:firstLineChars="200"/>
        <w:jc w:val="left"/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</w:p>
    <w:p w14:paraId="2E1E4126">
      <w:pPr>
        <w:jc w:val="both"/>
      </w:pPr>
    </w:p>
    <w:p w14:paraId="45C752DF">
      <w:pPr>
        <w:keepLines/>
        <w:ind w:firstLine="420" w:firstLineChars="200"/>
        <w:jc w:val="left"/>
      </w:pPr>
    </w:p>
    <w:p w14:paraId="12930135">
      <w:r>
        <w:br w:type="page"/>
      </w:r>
    </w:p>
    <w:p w14:paraId="067BDFD9">
      <w:pPr>
        <w:keepLines/>
        <w:jc w:val="left"/>
        <w:rPr>
          <w:rFonts w:hint="default" w:ascii="宋体" w:hAnsi="宋体" w:eastAsia="宋体" w:cs="宋体"/>
          <w:b/>
          <w:bCs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1"/>
          <w:u w:color="auto"/>
          <w:lang w:val="en-US" w:eastAsia="zh-CN"/>
        </w:rPr>
        <w:t>第一步查看稿件：</w:t>
      </w:r>
    </w:p>
    <w:p w14:paraId="25F5A9AC">
      <w:pPr>
        <w:jc w:val="center"/>
      </w:pPr>
      <w:r>
        <w:drawing>
          <wp:inline distT="0" distB="0" distL="114300" distR="114300">
            <wp:extent cx="5272405" cy="2151380"/>
            <wp:effectExtent l="0" t="0" r="10795" b="7620"/>
            <wp:docPr id="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835DF">
      <w:pPr>
        <w:jc w:val="center"/>
      </w:pPr>
    </w:p>
    <w:p w14:paraId="4601BBBD"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u w:color="auto"/>
        </w:rPr>
        <w:drawing>
          <wp:inline distT="0" distB="0" distL="0" distR="0">
            <wp:extent cx="5267325" cy="3219450"/>
            <wp:effectExtent l="0" t="0" r="9525" b="0"/>
            <wp:docPr id="14" name="Drawing 14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rawing 14" descr="Generated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lang w:val="en-US" w:eastAsia="zh-CN"/>
        </w:rPr>
        <w:br w:type="page"/>
      </w:r>
    </w:p>
    <w:p w14:paraId="223A87BF">
      <w:pPr>
        <w:keepLines/>
        <w:jc w:val="left"/>
        <w:rPr>
          <w:rFonts w:hint="default" w:ascii="宋体" w:hAnsi="宋体" w:eastAsia="宋体" w:cs="宋体"/>
          <w:b/>
          <w:bCs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1"/>
          <w:u w:color="auto"/>
          <w:lang w:val="en-US" w:eastAsia="zh-CN"/>
        </w:rPr>
        <w:t>第二步提交AIGC检测：</w:t>
      </w:r>
    </w:p>
    <w:p w14:paraId="1675AFD8"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初稿</w:t>
      </w:r>
      <w:r>
        <w:rPr>
          <w:rFonts w:hint="eastAsia"/>
          <w:b/>
          <w:bCs/>
          <w:sz w:val="24"/>
          <w:szCs w:val="24"/>
          <w:lang w:val="en-US" w:eastAsia="zh-Hans"/>
        </w:rPr>
        <w:t>环节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指导教师</w:t>
      </w:r>
      <w:r>
        <w:rPr>
          <w:rFonts w:hint="eastAsia"/>
          <w:b/>
          <w:bCs/>
          <w:sz w:val="24"/>
          <w:szCs w:val="24"/>
          <w:lang w:val="en-US" w:eastAsia="zh-CN"/>
        </w:rPr>
        <w:t>提交AIGC检测检测操作:（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一次免费AIGC检测，建议在确定初稿稿件基本无误后再提交AIGC检测，最后再审核通过</w:t>
      </w:r>
      <w:r>
        <w:rPr>
          <w:rFonts w:hint="eastAsia"/>
          <w:b/>
          <w:bCs/>
          <w:sz w:val="24"/>
          <w:szCs w:val="24"/>
          <w:lang w:val="en-US" w:eastAsia="zh-CN"/>
        </w:rPr>
        <w:t>）</w:t>
      </w:r>
    </w:p>
    <w:p w14:paraId="66F85255">
      <w:pPr>
        <w:rPr>
          <w:rFonts w:hint="default"/>
          <w:b/>
          <w:bCs/>
          <w:sz w:val="24"/>
          <w:szCs w:val="24"/>
          <w:lang w:val="en-US" w:eastAsia="zh-Hans"/>
        </w:rPr>
      </w:pPr>
      <w:r>
        <w:drawing>
          <wp:inline distT="0" distB="0" distL="114300" distR="114300">
            <wp:extent cx="5271135" cy="2965450"/>
            <wp:effectExtent l="0" t="0" r="12065" b="6350"/>
            <wp:docPr id="3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BF86F">
      <w:pPr>
        <w:keepLines/>
        <w:jc w:val="left"/>
        <w:rPr>
          <w:rFonts w:hint="default" w:ascii="宋体" w:hAnsi="宋体" w:eastAsia="宋体" w:cs="宋体"/>
          <w:b/>
          <w:bCs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1"/>
          <w:u w:color="auto"/>
          <w:lang w:val="en-US" w:eastAsia="zh-CN"/>
        </w:rPr>
        <w:t>第三步审核：</w:t>
      </w:r>
    </w:p>
    <w:p w14:paraId="4608632C">
      <w:pPr>
        <w:jc w:val="center"/>
        <w:rPr>
          <w:u w:color="auto"/>
        </w:rPr>
      </w:pPr>
      <w:r>
        <w:rPr>
          <w:u w:color="auto"/>
        </w:rPr>
        <w:drawing>
          <wp:inline distT="0" distB="0" distL="0" distR="0">
            <wp:extent cx="5267325" cy="3143250"/>
            <wp:effectExtent l="0" t="0" r="9525" b="0"/>
            <wp:docPr id="15" name="Drawing 15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rawing 15" descr="Generated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AE276">
      <w:pPr>
        <w:jc w:val="center"/>
        <w:rPr>
          <w:u w:color="auto"/>
        </w:rPr>
      </w:pPr>
    </w:p>
    <w:p w14:paraId="230A81D1">
      <w:pPr>
        <w:pStyle w:val="3"/>
        <w:jc w:val="left"/>
        <w:rPr>
          <w:rFonts w:hint="eastAsia" w:eastAsia="宋体"/>
          <w:lang w:eastAsia="zh-CN"/>
        </w:rPr>
      </w:pPr>
      <w:bookmarkStart w:id="48" w:name="_Toc275972645"/>
      <w:r>
        <w:rPr>
          <w:u w:color="auto"/>
        </w:rPr>
        <w:t>2.4</w:t>
      </w:r>
      <w:r>
        <w:rPr>
          <w:rFonts w:hint="eastAsia"/>
          <w:u w:color="auto"/>
          <w:lang w:eastAsia="zh-CN"/>
        </w:rPr>
        <w:t>查重稿</w:t>
      </w:r>
      <w:bookmarkEnd w:id="48"/>
    </w:p>
    <w:p w14:paraId="7C7E9966">
      <w:pPr>
        <w:pStyle w:val="4"/>
        <w:jc w:val="left"/>
        <w:rPr>
          <w:rFonts w:hint="eastAsia" w:eastAsia="宋体"/>
          <w:lang w:eastAsia="zh-CN"/>
        </w:rPr>
      </w:pPr>
      <w:bookmarkStart w:id="49" w:name="_Toc1855050642"/>
      <w:r>
        <w:rPr>
          <w:u w:color="auto"/>
        </w:rPr>
        <w:t>2.4.1审核</w:t>
      </w:r>
      <w:r>
        <w:rPr>
          <w:rFonts w:hint="eastAsia"/>
          <w:u w:color="auto"/>
          <w:lang w:eastAsia="zh-CN"/>
        </w:rPr>
        <w:t>查重稿</w:t>
      </w:r>
      <w:bookmarkEnd w:id="49"/>
    </w:p>
    <w:p w14:paraId="2066728D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点击左侧菜单进入“过程管理”—“</w:t>
      </w:r>
      <w:r>
        <w:rPr>
          <w:rFonts w:hint="eastAsia" w:ascii="宋体" w:hAnsi="宋体" w:cs="宋体"/>
          <w:sz w:val="21"/>
          <w:u w:color="auto"/>
          <w:lang w:eastAsia="zh-CN"/>
        </w:rPr>
        <w:t>查重稿</w:t>
      </w:r>
      <w:r>
        <w:rPr>
          <w:rFonts w:ascii="宋体" w:hAnsi="宋体" w:eastAsia="宋体" w:cs="宋体"/>
          <w:sz w:val="21"/>
          <w:u w:color="auto"/>
        </w:rPr>
        <w:t>”—“审核</w:t>
      </w:r>
      <w:r>
        <w:rPr>
          <w:rFonts w:hint="eastAsia" w:ascii="宋体" w:hAnsi="宋体" w:cs="宋体"/>
          <w:sz w:val="21"/>
          <w:u w:color="auto"/>
          <w:lang w:eastAsia="zh-CN"/>
        </w:rPr>
        <w:t>查重稿</w:t>
      </w:r>
      <w:r>
        <w:rPr>
          <w:rFonts w:ascii="宋体" w:hAnsi="宋体" w:eastAsia="宋体" w:cs="宋体"/>
          <w:sz w:val="21"/>
          <w:u w:color="auto"/>
        </w:rPr>
        <w:t>”页面。</w:t>
      </w:r>
    </w:p>
    <w:p w14:paraId="2D9E5578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ascii="宋体" w:hAnsi="宋体" w:eastAsia="宋体" w:cs="宋体"/>
          <w:sz w:val="21"/>
          <w:u w:color="auto"/>
        </w:rPr>
        <w:t>点击“审核”按钮，在弹出页面中，可查看稿件信息，点击页面的“预览”按钮，可在线预览稿件，点击页面的“下载”按钮可下载的稿件，点击“批注”可对稿件进行在线批注。并进行审核意见以及审核通过与否的选择后，点击“确定”审核完成。</w:t>
      </w:r>
    </w:p>
    <w:p w14:paraId="1D5AD218">
      <w:pPr>
        <w:keepLines/>
        <w:ind w:firstLine="420" w:firstLineChars="200"/>
        <w:jc w:val="left"/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查重稿</w:t>
      </w: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检测模式：每位学生一次免费查重检测，由教学秘书统一提交查重检测，查重检测重复率必须达到学校要求（30%以内）。</w:t>
      </w:r>
    </w:p>
    <w:p w14:paraId="7603131D">
      <w:pPr>
        <w:jc w:val="center"/>
      </w:pPr>
      <w:r>
        <w:drawing>
          <wp:inline distT="0" distB="0" distL="114300" distR="114300">
            <wp:extent cx="5274310" cy="1871980"/>
            <wp:effectExtent l="0" t="0" r="8890" b="7620"/>
            <wp:docPr id="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6939D">
      <w:pPr>
        <w:jc w:val="center"/>
      </w:pPr>
    </w:p>
    <w:p w14:paraId="32F06FC8">
      <w:pPr>
        <w:jc w:val="center"/>
        <w:rPr>
          <w:u w:color="auto"/>
        </w:rPr>
      </w:pPr>
      <w:r>
        <w:rPr>
          <w:u w:color="auto"/>
        </w:rPr>
        <w:drawing>
          <wp:inline distT="0" distB="0" distL="0" distR="0">
            <wp:extent cx="5267325" cy="3333750"/>
            <wp:effectExtent l="0" t="0" r="9525" b="0"/>
            <wp:docPr id="18" name="Drawing 18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rawing 18" descr="Generated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392FA">
      <w:pP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br w:type="page"/>
      </w:r>
    </w:p>
    <w:p w14:paraId="659DDD38">
      <w:pPr>
        <w:jc w:val="center"/>
        <w:rPr>
          <w:u w:color="auto"/>
        </w:rPr>
      </w:pPr>
    </w:p>
    <w:p w14:paraId="341E70CC">
      <w:pPr>
        <w:pStyle w:val="2"/>
        <w:jc w:val="left"/>
      </w:pPr>
      <w:bookmarkStart w:id="50" w:name="_Toc668552948"/>
      <w:r>
        <w:rPr>
          <w:u w:color="auto"/>
        </w:rPr>
        <w:t>3.评分管理</w:t>
      </w:r>
      <w:bookmarkEnd w:id="50"/>
    </w:p>
    <w:p w14:paraId="1CE4F157">
      <w:pPr>
        <w:pStyle w:val="3"/>
        <w:jc w:val="left"/>
        <w:rPr>
          <w:rFonts w:hint="default" w:eastAsia="宋体"/>
          <w:lang w:val="en-US" w:eastAsia="zh-CN"/>
        </w:rPr>
      </w:pPr>
      <w:bookmarkStart w:id="51" w:name="_Toc734955932"/>
      <w:r>
        <w:rPr>
          <w:u w:color="auto"/>
        </w:rPr>
        <w:t>3.1</w:t>
      </w:r>
      <w:r>
        <w:rPr>
          <w:rFonts w:hint="eastAsia"/>
          <w:u w:color="auto"/>
          <w:lang w:val="en-US" w:eastAsia="zh-CN"/>
        </w:rPr>
        <w:t>查看总评</w:t>
      </w:r>
      <w:bookmarkEnd w:id="51"/>
    </w:p>
    <w:p w14:paraId="3A1D60F1">
      <w:pPr>
        <w:pStyle w:val="4"/>
        <w:jc w:val="left"/>
      </w:pPr>
      <w:bookmarkStart w:id="52" w:name="_Toc78411580"/>
      <w:r>
        <w:rPr>
          <w:u w:color="auto"/>
        </w:rPr>
        <w:t>3.1.1评分</w:t>
      </w:r>
      <w:bookmarkEnd w:id="52"/>
    </w:p>
    <w:p w14:paraId="6B1AF618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点击左侧菜单栏“评分管理”—“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总评</w:t>
      </w:r>
      <w:r>
        <w:rPr>
          <w:rFonts w:ascii="宋体" w:hAnsi="宋体" w:eastAsia="宋体" w:cs="宋体"/>
          <w:sz w:val="21"/>
          <w:u w:color="auto"/>
        </w:rPr>
        <w:t>”页面。</w:t>
      </w:r>
    </w:p>
    <w:p w14:paraId="588D5048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点击“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查看</w:t>
      </w:r>
      <w:r>
        <w:rPr>
          <w:rFonts w:ascii="宋体" w:hAnsi="宋体" w:eastAsia="宋体" w:cs="宋体"/>
          <w:sz w:val="21"/>
          <w:u w:color="auto"/>
        </w:rPr>
        <w:t>”按钮，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即可查看各学生的总评等级</w:t>
      </w:r>
      <w:r>
        <w:rPr>
          <w:rFonts w:ascii="宋体" w:hAnsi="宋体" w:eastAsia="宋体" w:cs="宋体"/>
          <w:sz w:val="21"/>
          <w:u w:color="auto"/>
        </w:rPr>
        <w:t>。</w:t>
      </w:r>
    </w:p>
    <w:p w14:paraId="5B4AC5C1">
      <w:pPr>
        <w:jc w:val="center"/>
      </w:pPr>
      <w:r>
        <w:drawing>
          <wp:inline distT="0" distB="0" distL="114300" distR="114300">
            <wp:extent cx="5273675" cy="2994660"/>
            <wp:effectExtent l="0" t="0" r="9525" b="254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9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77ED6">
      <w:pPr>
        <w:pStyle w:val="2"/>
        <w:jc w:val="left"/>
        <w:rPr>
          <w:rFonts w:hint="eastAsia" w:eastAsia="宋体"/>
          <w:lang w:eastAsia="zh-CN"/>
        </w:rPr>
      </w:pPr>
      <w:bookmarkStart w:id="53" w:name="_Toc1455949449"/>
      <w:r>
        <w:rPr>
          <w:u w:color="auto"/>
        </w:rPr>
        <w:t>4.</w:t>
      </w:r>
      <w:r>
        <w:rPr>
          <w:rFonts w:hint="eastAsia"/>
          <w:u w:color="auto"/>
          <w:lang w:eastAsia="zh-CN"/>
        </w:rPr>
        <w:t>归档稿</w:t>
      </w:r>
      <w:bookmarkEnd w:id="53"/>
    </w:p>
    <w:p w14:paraId="15A37CCC">
      <w:pPr>
        <w:pStyle w:val="3"/>
        <w:jc w:val="left"/>
        <w:rPr>
          <w:rFonts w:hint="eastAsia" w:eastAsia="宋体"/>
          <w:lang w:eastAsia="zh-CN"/>
        </w:rPr>
      </w:pPr>
      <w:bookmarkStart w:id="54" w:name="_Toc1713715425"/>
      <w:r>
        <w:rPr>
          <w:u w:color="auto"/>
        </w:rPr>
        <w:t>4.1</w:t>
      </w:r>
      <w:r>
        <w:rPr>
          <w:rFonts w:hint="eastAsia"/>
          <w:u w:color="auto"/>
          <w:lang w:eastAsia="zh-CN"/>
        </w:rPr>
        <w:t>归档稿</w:t>
      </w:r>
      <w:bookmarkEnd w:id="54"/>
    </w:p>
    <w:p w14:paraId="277E661F">
      <w:pPr>
        <w:pStyle w:val="4"/>
        <w:jc w:val="left"/>
        <w:rPr>
          <w:rFonts w:hint="eastAsia" w:eastAsia="宋体"/>
          <w:lang w:eastAsia="zh-CN"/>
        </w:rPr>
      </w:pPr>
      <w:bookmarkStart w:id="55" w:name="_Toc364474411"/>
      <w:r>
        <w:rPr>
          <w:u w:color="auto"/>
        </w:rPr>
        <w:t>4.1.1审核</w:t>
      </w:r>
      <w:r>
        <w:rPr>
          <w:rFonts w:hint="eastAsia"/>
          <w:u w:color="auto"/>
          <w:lang w:eastAsia="zh-CN"/>
        </w:rPr>
        <w:t>归档稿</w:t>
      </w:r>
      <w:bookmarkEnd w:id="55"/>
    </w:p>
    <w:p w14:paraId="17601FB9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点击左侧菜单栏“</w:t>
      </w:r>
      <w:r>
        <w:rPr>
          <w:rFonts w:hint="eastAsia" w:ascii="宋体" w:hAnsi="宋体" w:cs="宋体"/>
          <w:sz w:val="21"/>
          <w:u w:color="auto"/>
          <w:lang w:eastAsia="zh-CN"/>
        </w:rPr>
        <w:t>归档稿</w:t>
      </w:r>
      <w:r>
        <w:rPr>
          <w:rFonts w:ascii="宋体" w:hAnsi="宋体" w:eastAsia="宋体" w:cs="宋体"/>
          <w:sz w:val="21"/>
          <w:u w:color="auto"/>
        </w:rPr>
        <w:t>”—“</w:t>
      </w:r>
      <w:r>
        <w:rPr>
          <w:rFonts w:hint="eastAsia" w:ascii="宋体" w:hAnsi="宋体" w:cs="宋体"/>
          <w:sz w:val="21"/>
          <w:u w:color="auto"/>
          <w:lang w:eastAsia="zh-CN"/>
        </w:rPr>
        <w:t>归档稿</w:t>
      </w:r>
      <w:r>
        <w:rPr>
          <w:rFonts w:ascii="宋体" w:hAnsi="宋体" w:eastAsia="宋体" w:cs="宋体"/>
          <w:sz w:val="21"/>
          <w:u w:color="auto"/>
        </w:rPr>
        <w:t>”页面。</w:t>
      </w:r>
    </w:p>
    <w:p w14:paraId="799EAFB9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ascii="宋体" w:hAnsi="宋体" w:eastAsia="宋体" w:cs="宋体"/>
          <w:sz w:val="21"/>
          <w:u w:color="auto"/>
        </w:rPr>
        <w:t>点击“审核”按钮，在弹出页面中，可查看稿件信息，点击页面的“预览“按钮，可在线预览稿件，点击页面的“下载”按钮可下载稿件</w:t>
      </w:r>
      <w:r>
        <w:rPr>
          <w:rFonts w:hint="eastAsia" w:ascii="宋体" w:hAnsi="宋体" w:cs="宋体"/>
          <w:sz w:val="21"/>
          <w:u w:color="auto"/>
          <w:lang w:eastAsia="zh-CN"/>
        </w:rPr>
        <w:t>，</w:t>
      </w:r>
      <w:r>
        <w:rPr>
          <w:rFonts w:ascii="宋体" w:hAnsi="宋体" w:eastAsia="宋体" w:cs="宋体"/>
          <w:sz w:val="21"/>
          <w:u w:color="auto"/>
        </w:rPr>
        <w:t>并进行审核意见以及审核通过与否的选择后，点击“确定”审核完成。</w:t>
      </w:r>
    </w:p>
    <w:p w14:paraId="0A21CC12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归档稿</w:t>
      </w: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检测模式：每位学生一次免费查重检测，由教学秘书统一提交查重检测，查重检测重复率必须达到学校要求（30%以内）。</w:t>
      </w:r>
    </w:p>
    <w:p w14:paraId="67193C48">
      <w:pPr>
        <w:jc w:val="center"/>
      </w:pPr>
      <w:r>
        <w:drawing>
          <wp:inline distT="0" distB="0" distL="114300" distR="114300">
            <wp:extent cx="5267325" cy="1870075"/>
            <wp:effectExtent l="0" t="0" r="15875" b="9525"/>
            <wp:docPr id="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1A836">
      <w:pPr>
        <w:jc w:val="center"/>
      </w:pPr>
    </w:p>
    <w:p w14:paraId="56A030B4">
      <w:pPr>
        <w:jc w:val="center"/>
      </w:pPr>
      <w:r>
        <w:drawing>
          <wp:inline distT="0" distB="0" distL="114300" distR="114300">
            <wp:extent cx="5265420" cy="2823845"/>
            <wp:effectExtent l="0" t="0" r="17780" b="2095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3068E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56" w:name="_Toc22406"/>
      <w:bookmarkStart w:id="57" w:name="_Toc1098064433"/>
      <w:bookmarkStart w:id="58" w:name="_Toc21967825"/>
      <w:bookmarkStart w:id="59" w:name="_Toc21113907"/>
      <w:bookmarkStart w:id="60" w:name="_Toc13523"/>
      <w:bookmarkStart w:id="61" w:name="_Toc11588"/>
      <w:bookmarkStart w:id="62" w:name="_Toc21507034"/>
      <w:bookmarkStart w:id="63" w:name="_Toc21506725"/>
      <w:bookmarkStart w:id="64" w:name="_Toc5161"/>
      <w:bookmarkStart w:id="65" w:name="_Toc19779"/>
      <w:bookmarkStart w:id="66" w:name="_Toc1740308402_WPSOffice_Level3"/>
      <w:bookmarkStart w:id="67" w:name="_Toc14609"/>
      <w:bookmarkStart w:id="68" w:name="_Toc20700"/>
      <w:bookmarkStart w:id="69" w:name="_Toc4888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信息管理</w:t>
      </w:r>
      <w:bookmarkEnd w:id="56"/>
      <w:bookmarkEnd w:id="57"/>
    </w:p>
    <w:p w14:paraId="080443D1">
      <w:pPr>
        <w:pStyle w:val="3"/>
        <w:rPr>
          <w:sz w:val="24"/>
          <w:szCs w:val="24"/>
        </w:rPr>
      </w:pPr>
      <w:bookmarkStart w:id="70" w:name="_Toc8739"/>
      <w:bookmarkStart w:id="71" w:name="_Toc1841946760"/>
      <w:r>
        <w:rPr>
          <w:rFonts w:hint="eastAsia"/>
          <w:sz w:val="24"/>
          <w:szCs w:val="24"/>
        </w:rPr>
        <w:t>1</w:t>
      </w:r>
      <w:bookmarkEnd w:id="58"/>
      <w:bookmarkEnd w:id="59"/>
      <w:bookmarkEnd w:id="60"/>
      <w:bookmarkEnd w:id="61"/>
      <w:bookmarkEnd w:id="62"/>
      <w:bookmarkEnd w:id="63"/>
      <w:bookmarkEnd w:id="64"/>
      <w:r>
        <w:rPr>
          <w:rFonts w:hint="eastAsia"/>
          <w:sz w:val="24"/>
          <w:szCs w:val="24"/>
        </w:rPr>
        <w:t>、站内信</w:t>
      </w:r>
      <w:bookmarkEnd w:id="65"/>
      <w:bookmarkEnd w:id="66"/>
      <w:bookmarkEnd w:id="67"/>
      <w:bookmarkEnd w:id="68"/>
      <w:bookmarkEnd w:id="69"/>
      <w:bookmarkEnd w:id="70"/>
      <w:bookmarkEnd w:id="71"/>
    </w:p>
    <w:p w14:paraId="383221C1">
      <w:pPr>
        <w:spacing w:before="156" w:after="156"/>
        <w:ind w:firstLine="48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  <w:color w:val="FF0000"/>
        </w:rPr>
        <w:t>★</w:t>
      </w:r>
      <w:r>
        <w:rPr>
          <w:rFonts w:hint="eastAsia" w:ascii="宋体" w:hAnsi="宋体" w:cs="宋体"/>
          <w:color w:val="303030"/>
        </w:rPr>
        <w:t>第1步：</w:t>
      </w:r>
      <w:r>
        <w:rPr>
          <w:rFonts w:hint="eastAsia" w:ascii="宋体" w:hAnsi="宋体" w:cs="宋体"/>
        </w:rPr>
        <w:t>点击左侧菜单进入“消息管理”—“站内信”。可以进行站内信的查阅与发送。</w:t>
      </w:r>
    </w:p>
    <w:p w14:paraId="77E082E5">
      <w:pPr>
        <w:spacing w:before="156" w:after="156"/>
        <w:jc w:val="left"/>
        <w:rPr>
          <w:rFonts w:ascii="宋体" w:hAnsi="宋体" w:cs="宋体"/>
        </w:rPr>
      </w:pPr>
      <w:r>
        <w:rPr>
          <w:rFonts w:ascii="宋体" w:hAnsi="宋体" w:cs="宋体"/>
        </w:rPr>
        <w:drawing>
          <wp:inline distT="0" distB="0" distL="114300" distR="114300">
            <wp:extent cx="5253990" cy="1426845"/>
            <wp:effectExtent l="0" t="0" r="3810" b="1905"/>
            <wp:docPr id="14431514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151419" name="图片 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C46B2">
      <w:pPr>
        <w:pStyle w:val="3"/>
        <w:rPr>
          <w:sz w:val="28"/>
          <w:szCs w:val="28"/>
        </w:rPr>
      </w:pPr>
      <w:bookmarkStart w:id="72" w:name="_Toc636040274_WPSOffice_Level3"/>
      <w:bookmarkStart w:id="73" w:name="_Toc6568"/>
      <w:bookmarkStart w:id="74" w:name="_Toc7002"/>
      <w:bookmarkStart w:id="75" w:name="_Toc23918"/>
      <w:bookmarkStart w:id="76" w:name="_Toc12655"/>
      <w:bookmarkStart w:id="77" w:name="_Toc1622423815"/>
      <w:bookmarkStart w:id="78" w:name="_Toc14049"/>
      <w:r>
        <w:rPr>
          <w:rFonts w:hint="eastAsia"/>
          <w:sz w:val="28"/>
          <w:szCs w:val="28"/>
        </w:rPr>
        <w:t>2、公告管理</w:t>
      </w:r>
      <w:bookmarkEnd w:id="72"/>
      <w:bookmarkEnd w:id="73"/>
      <w:bookmarkEnd w:id="74"/>
      <w:bookmarkEnd w:id="75"/>
      <w:bookmarkEnd w:id="76"/>
      <w:bookmarkEnd w:id="77"/>
      <w:bookmarkEnd w:id="78"/>
    </w:p>
    <w:p w14:paraId="463AA975">
      <w:pPr>
        <w:spacing w:before="120" w:after="120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  <w:color w:val="FF0000"/>
        </w:rPr>
        <w:t>★</w:t>
      </w:r>
      <w:r>
        <w:rPr>
          <w:rFonts w:hint="eastAsia" w:ascii="宋体" w:hAnsi="宋体" w:cs="宋体"/>
          <w:color w:val="303030"/>
        </w:rPr>
        <w:t>第1步：</w:t>
      </w:r>
      <w:r>
        <w:rPr>
          <w:rFonts w:hint="eastAsia" w:ascii="宋体" w:hAnsi="宋体" w:cs="宋体"/>
        </w:rPr>
        <w:t>点击左侧菜单进入“消息管理”—“公告管理”。可以查看学校学院发布公告内容。</w:t>
      </w:r>
    </w:p>
    <w:p w14:paraId="4C67DDB6">
      <w:r>
        <w:rPr>
          <w:rFonts w:ascii="宋体" w:hAnsi="宋体" w:cs="宋体"/>
        </w:rPr>
        <w:drawing>
          <wp:inline distT="0" distB="0" distL="114300" distR="114300">
            <wp:extent cx="5262245" cy="2000885"/>
            <wp:effectExtent l="0" t="0" r="14605" b="18415"/>
            <wp:docPr id="2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826CC"/>
    <w:p w14:paraId="5E32AD49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79" w:name="_Toc6973"/>
      <w:bookmarkStart w:id="80" w:name="_Toc1477192746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常见问题</w:t>
      </w:r>
      <w:bookmarkEnd w:id="79"/>
      <w:bookmarkEnd w:id="80"/>
    </w:p>
    <w:p w14:paraId="3C35D4B0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1、密码忘记了怎么办？</w:t>
      </w:r>
    </w:p>
    <w:p w14:paraId="5A43AF27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回复：如果账号完成了邮箱绑定可点击登录页面中的“忘记密码”字样，通过邮箱验证设置新密码，如未完成邮箱绑定可联系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sz w:val="24"/>
          <w:szCs w:val="24"/>
        </w:rPr>
        <w:t>重置密码，如完成了绑定微信可直接扫码登陆。</w:t>
      </w:r>
    </w:p>
    <w:p w14:paraId="062E2EF0">
      <w:pPr>
        <w:spacing w:line="276" w:lineRule="auto"/>
        <w:rPr>
          <w:rFonts w:ascii="宋体" w:hAnsi="宋体" w:cs="宋体"/>
          <w:sz w:val="24"/>
          <w:szCs w:val="24"/>
        </w:rPr>
      </w:pPr>
    </w:p>
    <w:p w14:paraId="5649725E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2、系统提示“用户不存在”是什么意思？</w:t>
      </w:r>
    </w:p>
    <w:p w14:paraId="2026BABB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回复：一般是因为输入的用户名错误或您的账户信息没有录入到系统当中，您需要与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sz w:val="24"/>
          <w:szCs w:val="24"/>
        </w:rPr>
        <w:t>联系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</w:rPr>
        <w:t>帮您查询或新增账号信息。（操作方式：在“账号管理”中，可以进行账号信息的查询、修改与新增。）</w:t>
      </w:r>
    </w:p>
    <w:p w14:paraId="4A699399">
      <w:pPr>
        <w:pStyle w:val="23"/>
        <w:spacing w:line="276" w:lineRule="auto"/>
        <w:ind w:firstLine="0" w:firstLineChars="0"/>
        <w:rPr>
          <w:rFonts w:ascii="宋体" w:hAnsi="宋体" w:eastAsia="宋体" w:cs="宋体"/>
          <w:sz w:val="24"/>
          <w:szCs w:val="24"/>
        </w:rPr>
      </w:pPr>
    </w:p>
    <w:p w14:paraId="46F0D835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3、审核列表显示无数据是什么情况？</w:t>
      </w:r>
    </w:p>
    <w:p w14:paraId="3F4FCA0A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回复：这种情况一般是学生还未提交导致的，可查看查询列表内的状态，显示为待提交即为学生还未提交，等待提交后即可进行审核。</w:t>
      </w:r>
    </w:p>
    <w:p w14:paraId="10C37382">
      <w:pPr>
        <w:pStyle w:val="23"/>
        <w:spacing w:line="276" w:lineRule="auto"/>
        <w:ind w:firstLine="0" w:firstLineChars="0"/>
        <w:rPr>
          <w:rFonts w:ascii="宋体" w:hAnsi="宋体" w:eastAsia="宋体" w:cs="宋体"/>
          <w:sz w:val="24"/>
          <w:szCs w:val="24"/>
        </w:rPr>
      </w:pPr>
    </w:p>
    <w:p w14:paraId="001DC415">
      <w:pPr>
        <w:spacing w:line="276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4、如何知道目前自己是否需要进行系统操作并快捷处理待处理的事项？</w:t>
      </w:r>
    </w:p>
    <w:p w14:paraId="35467D19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回复：点击首页，在</w:t>
      </w:r>
      <w:r>
        <w:rPr>
          <w:rFonts w:hint="eastAsia" w:ascii="宋体" w:hAnsi="宋体" w:cs="宋体"/>
          <w:color w:val="303030"/>
          <w:sz w:val="24"/>
          <w:szCs w:val="24"/>
        </w:rPr>
        <w:t>下方有流程引导及待办事项模块，可查看所有流程的操作节点并可快捷跳转到需要操作的对应列表内，</w:t>
      </w:r>
      <w:r>
        <w:rPr>
          <w:rFonts w:hint="eastAsia" w:ascii="宋体" w:hAnsi="宋体" w:cs="宋体"/>
          <w:sz w:val="24"/>
          <w:szCs w:val="24"/>
        </w:rPr>
        <w:t>当操作节点背景为黄色时表示目前需要处理，可点击该操作节点直接跳转到对应操作列表内进行操作。</w:t>
      </w:r>
    </w:p>
    <w:p w14:paraId="5D908287">
      <w:pPr>
        <w:spacing w:line="276" w:lineRule="auto"/>
        <w:rPr>
          <w:rFonts w:ascii="宋体" w:hAnsi="宋体" w:cs="宋体"/>
          <w:sz w:val="24"/>
          <w:szCs w:val="24"/>
        </w:rPr>
      </w:pPr>
    </w:p>
    <w:p w14:paraId="32189E1E">
      <w:pPr>
        <w:spacing w:line="276" w:lineRule="auto"/>
        <w:rPr>
          <w:rFonts w:ascii="宋体" w:hAnsi="宋体" w:cs="宋体"/>
          <w:color w:val="303030"/>
          <w:sz w:val="24"/>
          <w:szCs w:val="24"/>
        </w:rPr>
      </w:pPr>
      <w:r>
        <w:rPr>
          <w:rFonts w:hint="eastAsia" w:ascii="宋体" w:hAnsi="宋体" w:cs="宋体"/>
          <w:b/>
          <w:bCs/>
          <w:color w:val="303030"/>
          <w:sz w:val="24"/>
          <w:szCs w:val="24"/>
        </w:rPr>
        <w:t>5、</w:t>
      </w:r>
      <w:r>
        <w:rPr>
          <w:rFonts w:hint="eastAsia" w:ascii="宋体" w:hAnsi="宋体" w:cs="宋体"/>
          <w:color w:val="303030"/>
          <w:sz w:val="24"/>
          <w:szCs w:val="24"/>
        </w:rPr>
        <w:t>如已操作过的流程需重新编辑应如何处理？</w:t>
      </w:r>
    </w:p>
    <w:p w14:paraId="5C64EEFF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color w:val="303030"/>
          <w:sz w:val="24"/>
          <w:szCs w:val="24"/>
        </w:rPr>
        <w:t>回复：当已操作完成了相关的流程，后面需重新编辑的情况可联系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color w:val="303030"/>
          <w:sz w:val="24"/>
          <w:szCs w:val="24"/>
        </w:rPr>
        <w:t>将流程进行流转回重新提交的状态下</w:t>
      </w:r>
      <w:r>
        <w:rPr>
          <w:rFonts w:hint="eastAsia" w:ascii="宋体" w:hAnsi="宋体" w:cs="宋体"/>
          <w:sz w:val="24"/>
          <w:szCs w:val="24"/>
        </w:rPr>
        <w:t>（操作方式：在每个流程的查询列表中，点击流转到按钮可选择流转回重新提交、审核状态。）</w:t>
      </w:r>
    </w:p>
    <w:p w14:paraId="6879643D">
      <w:pPr>
        <w:spacing w:line="276" w:lineRule="auto"/>
        <w:rPr>
          <w:rFonts w:ascii="宋体" w:hAnsi="宋体" w:cs="宋体"/>
          <w:sz w:val="24"/>
          <w:szCs w:val="24"/>
        </w:rPr>
      </w:pPr>
    </w:p>
    <w:p w14:paraId="37B5F4EB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6、如登陆时点击登陆按钮没反应，或者在提交时点击提交按钮没反应如何处理？</w:t>
      </w:r>
    </w:p>
    <w:p w14:paraId="4F607CA9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回复：此情况属于浏览器问题，请按住Ctrl+Shift+Delete清理浏览器缓存，再刷新该页面重新登录，或者换个浏览器，不使用Safari、ie和360兼容模式</w:t>
      </w:r>
    </w:p>
    <w:p w14:paraId="2FE297FE">
      <w:pPr>
        <w:pStyle w:val="2"/>
        <w:numPr>
          <w:ilvl w:val="0"/>
          <w:numId w:val="0"/>
        </w:numPr>
        <w:spacing w:before="0" w:after="0" w:line="360" w:lineRule="auto"/>
        <w:ind w:left="142" w:leftChars="0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 xml:space="preserve"> </w:t>
      </w:r>
    </w:p>
    <w:p w14:paraId="310FE88A"/>
    <w:p w14:paraId="52C9902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F0093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5F57C0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XNsgtAgAAVgQAAA4AAABkcnMvZTJvRG9jLnhtbK1UzY7TMBC+I/EO&#10;lu80aVcs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NMXNsgtAgAAVg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5F57C0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0A114">
    <w:pPr>
      <w:pStyle w:val="8"/>
      <w:keepNext w:val="0"/>
      <w:keepLines w:val="0"/>
      <w:pageBreakBefore w:val="0"/>
      <w:widowControl w:val="0"/>
      <w:pBdr>
        <w:bottom w:val="thinThickMediumGap" w:color="auto" w:sz="18" w:space="1"/>
      </w:pBdr>
      <w:kinsoku/>
      <w:wordWrap/>
      <w:overflowPunct/>
      <w:topLinePunct w:val="0"/>
      <w:bidi w:val="0"/>
      <w:adjustRightInd/>
      <w:snapToGrid w:val="0"/>
      <w:jc w:val="left"/>
      <w:textAlignment w:val="auto"/>
      <w:rPr>
        <w:rFonts w:hint="default" w:eastAsia="宋体"/>
        <w:lang w:val="en-US" w:eastAsia="zh-CN"/>
      </w:rPr>
    </w:pPr>
    <w:r>
      <w:rPr>
        <w:rFonts w:ascii="宋体" w:hAnsi="宋体"/>
        <w:b/>
        <w:sz w:val="56"/>
        <w:szCs w:val="52"/>
      </w:rPr>
      <w:drawing>
        <wp:inline distT="0" distB="0" distL="114300" distR="114300">
          <wp:extent cx="1057910" cy="446405"/>
          <wp:effectExtent l="15875" t="15875" r="88265" b="71120"/>
          <wp:docPr id="2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7910" cy="44640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outerShdw blurRad="50800" dist="38100" dir="2700000" algn="tl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</wp:inline>
      </w:drawing>
    </w:r>
    <w:r>
      <w:rPr>
        <w:rFonts w:hint="eastAsia" w:ascii="宋体" w:hAnsi="宋体"/>
        <w:b/>
        <w:sz w:val="56"/>
        <w:szCs w:val="52"/>
        <w:lang w:val="en-US" w:eastAsia="zh-CN"/>
      </w:rPr>
      <w:t xml:space="preserve">  </w:t>
    </w:r>
    <w:r>
      <w:rPr>
        <w:rFonts w:hint="eastAsia" w:ascii="黑体" w:hAnsi="黑体" w:eastAsia="黑体" w:cs="黑体"/>
        <w:sz w:val="21"/>
        <w:szCs w:val="21"/>
        <w:lang w:val="en-US" w:eastAsia="zh-CN"/>
      </w:rPr>
      <w:t>维普毕业论文（设计）管理系统-</w:t>
    </w:r>
    <w:r>
      <w:rPr>
        <w:rFonts w:ascii="黑体" w:hAnsi="黑体" w:eastAsia="黑体" w:cs="黑体"/>
        <w:sz w:val="21"/>
        <w:u w:color="auto"/>
      </w:rPr>
      <w:t xml:space="preserve">指导教师操作手册   </w:t>
    </w:r>
    <w:r>
      <w:rPr>
        <w:rFonts w:hint="eastAsia"/>
        <w:lang w:val="en-US" w:eastAsia="zh-CN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F9679D"/>
    <w:multiLevelType w:val="multilevel"/>
    <w:tmpl w:val="31F9679D"/>
    <w:lvl w:ilvl="0" w:tentative="0">
      <w:start w:val="1"/>
      <w:numFmt w:val="japaneseCounting"/>
      <w:lvlText w:val="%1、"/>
      <w:lvlJc w:val="left"/>
      <w:pPr>
        <w:ind w:left="1042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lZDc4M2JiODQzN2M3YWE2Y2FlYjM3ODI1OWQ5NjkifQ=="/>
  </w:docVars>
  <w:rsids>
    <w:rsidRoot w:val="5FE02B0A"/>
    <w:rsid w:val="00023261"/>
    <w:rsid w:val="000304D9"/>
    <w:rsid w:val="00041EC8"/>
    <w:rsid w:val="0004525E"/>
    <w:rsid w:val="00080EEA"/>
    <w:rsid w:val="000A2742"/>
    <w:rsid w:val="000D3AC7"/>
    <w:rsid w:val="00110281"/>
    <w:rsid w:val="0012640F"/>
    <w:rsid w:val="00134937"/>
    <w:rsid w:val="00164D25"/>
    <w:rsid w:val="00187198"/>
    <w:rsid w:val="001B13DD"/>
    <w:rsid w:val="001B2917"/>
    <w:rsid w:val="00215B72"/>
    <w:rsid w:val="00216D1F"/>
    <w:rsid w:val="00290F07"/>
    <w:rsid w:val="002C6CC8"/>
    <w:rsid w:val="002D20B5"/>
    <w:rsid w:val="002D3640"/>
    <w:rsid w:val="002E6342"/>
    <w:rsid w:val="002F0FB6"/>
    <w:rsid w:val="00321CED"/>
    <w:rsid w:val="00376A1B"/>
    <w:rsid w:val="00383167"/>
    <w:rsid w:val="00390E82"/>
    <w:rsid w:val="003C62A3"/>
    <w:rsid w:val="003D22B5"/>
    <w:rsid w:val="003D4710"/>
    <w:rsid w:val="003D705D"/>
    <w:rsid w:val="003F0796"/>
    <w:rsid w:val="003F75CF"/>
    <w:rsid w:val="0041323F"/>
    <w:rsid w:val="00441424"/>
    <w:rsid w:val="00441C9E"/>
    <w:rsid w:val="00454505"/>
    <w:rsid w:val="00486E97"/>
    <w:rsid w:val="00491A15"/>
    <w:rsid w:val="004952BE"/>
    <w:rsid w:val="004A24DF"/>
    <w:rsid w:val="004A42BE"/>
    <w:rsid w:val="004C5D4B"/>
    <w:rsid w:val="004D3A02"/>
    <w:rsid w:val="004D76B3"/>
    <w:rsid w:val="004E2611"/>
    <w:rsid w:val="004E639E"/>
    <w:rsid w:val="0050291F"/>
    <w:rsid w:val="00511ACF"/>
    <w:rsid w:val="005305D3"/>
    <w:rsid w:val="005501DF"/>
    <w:rsid w:val="00590BBF"/>
    <w:rsid w:val="005B35C4"/>
    <w:rsid w:val="005D3A65"/>
    <w:rsid w:val="005D7489"/>
    <w:rsid w:val="0066524E"/>
    <w:rsid w:val="00682F60"/>
    <w:rsid w:val="006842BB"/>
    <w:rsid w:val="0068767B"/>
    <w:rsid w:val="006F7953"/>
    <w:rsid w:val="00706E2C"/>
    <w:rsid w:val="00716B0A"/>
    <w:rsid w:val="007569B5"/>
    <w:rsid w:val="00762975"/>
    <w:rsid w:val="007751E2"/>
    <w:rsid w:val="00783B6A"/>
    <w:rsid w:val="00795459"/>
    <w:rsid w:val="007A3406"/>
    <w:rsid w:val="007A6906"/>
    <w:rsid w:val="008176BE"/>
    <w:rsid w:val="00832765"/>
    <w:rsid w:val="008352FC"/>
    <w:rsid w:val="0083608A"/>
    <w:rsid w:val="00857F26"/>
    <w:rsid w:val="008747B4"/>
    <w:rsid w:val="00896AD7"/>
    <w:rsid w:val="008B4D48"/>
    <w:rsid w:val="008C3852"/>
    <w:rsid w:val="008E0D78"/>
    <w:rsid w:val="008E7CD3"/>
    <w:rsid w:val="00906D40"/>
    <w:rsid w:val="00926973"/>
    <w:rsid w:val="00935E69"/>
    <w:rsid w:val="00962DD5"/>
    <w:rsid w:val="009666BC"/>
    <w:rsid w:val="00974BBE"/>
    <w:rsid w:val="009D4674"/>
    <w:rsid w:val="009D67F0"/>
    <w:rsid w:val="00A00EAF"/>
    <w:rsid w:val="00A77943"/>
    <w:rsid w:val="00A830CE"/>
    <w:rsid w:val="00A87F74"/>
    <w:rsid w:val="00AA4694"/>
    <w:rsid w:val="00AB3833"/>
    <w:rsid w:val="00AF1DED"/>
    <w:rsid w:val="00B55CCB"/>
    <w:rsid w:val="00B85A72"/>
    <w:rsid w:val="00C52741"/>
    <w:rsid w:val="00CA1238"/>
    <w:rsid w:val="00CB31A7"/>
    <w:rsid w:val="00CD7635"/>
    <w:rsid w:val="00CF2C04"/>
    <w:rsid w:val="00D52373"/>
    <w:rsid w:val="00D6218C"/>
    <w:rsid w:val="00D76EEB"/>
    <w:rsid w:val="00D804E6"/>
    <w:rsid w:val="00D9685B"/>
    <w:rsid w:val="00DC5E6F"/>
    <w:rsid w:val="00DC7FD4"/>
    <w:rsid w:val="00DD481A"/>
    <w:rsid w:val="00E00EA0"/>
    <w:rsid w:val="00E711C9"/>
    <w:rsid w:val="00E86084"/>
    <w:rsid w:val="00EC5FD3"/>
    <w:rsid w:val="00EE7696"/>
    <w:rsid w:val="00F1464A"/>
    <w:rsid w:val="00F62B24"/>
    <w:rsid w:val="00FA1A34"/>
    <w:rsid w:val="00FC2DEB"/>
    <w:rsid w:val="00FF22CE"/>
    <w:rsid w:val="017E0CD4"/>
    <w:rsid w:val="01910A08"/>
    <w:rsid w:val="01973B44"/>
    <w:rsid w:val="01A3073B"/>
    <w:rsid w:val="01AE15BA"/>
    <w:rsid w:val="01AF179F"/>
    <w:rsid w:val="01D32DCE"/>
    <w:rsid w:val="01FD609D"/>
    <w:rsid w:val="02182ED7"/>
    <w:rsid w:val="023C4E17"/>
    <w:rsid w:val="023F2212"/>
    <w:rsid w:val="024141DC"/>
    <w:rsid w:val="02427F54"/>
    <w:rsid w:val="02612B5C"/>
    <w:rsid w:val="02B20C36"/>
    <w:rsid w:val="02E42DB9"/>
    <w:rsid w:val="033E696D"/>
    <w:rsid w:val="034D095E"/>
    <w:rsid w:val="0361440A"/>
    <w:rsid w:val="03B60BF9"/>
    <w:rsid w:val="03C274DB"/>
    <w:rsid w:val="03F82FC0"/>
    <w:rsid w:val="042F62B6"/>
    <w:rsid w:val="044B7594"/>
    <w:rsid w:val="044C6E68"/>
    <w:rsid w:val="047C599F"/>
    <w:rsid w:val="047F0FEB"/>
    <w:rsid w:val="052A53FB"/>
    <w:rsid w:val="05452235"/>
    <w:rsid w:val="05544226"/>
    <w:rsid w:val="06087AF2"/>
    <w:rsid w:val="061B11E8"/>
    <w:rsid w:val="062E0F1B"/>
    <w:rsid w:val="06654211"/>
    <w:rsid w:val="067B1C86"/>
    <w:rsid w:val="06B6300F"/>
    <w:rsid w:val="06BA4485"/>
    <w:rsid w:val="06DE46EF"/>
    <w:rsid w:val="06FC2DC7"/>
    <w:rsid w:val="074A1D85"/>
    <w:rsid w:val="078132CC"/>
    <w:rsid w:val="07866B35"/>
    <w:rsid w:val="07B7538F"/>
    <w:rsid w:val="07D21D7A"/>
    <w:rsid w:val="07FB6BDB"/>
    <w:rsid w:val="08060514"/>
    <w:rsid w:val="08381BDD"/>
    <w:rsid w:val="08624EAC"/>
    <w:rsid w:val="087B5F6E"/>
    <w:rsid w:val="088A7F5F"/>
    <w:rsid w:val="08F875BE"/>
    <w:rsid w:val="091A7535"/>
    <w:rsid w:val="094445B2"/>
    <w:rsid w:val="0969226A"/>
    <w:rsid w:val="09B434E5"/>
    <w:rsid w:val="09B72FD5"/>
    <w:rsid w:val="09DC2A3C"/>
    <w:rsid w:val="09F528BA"/>
    <w:rsid w:val="0A310FDA"/>
    <w:rsid w:val="0A9652E1"/>
    <w:rsid w:val="0AC0235E"/>
    <w:rsid w:val="0B7C44D7"/>
    <w:rsid w:val="0BAE21B6"/>
    <w:rsid w:val="0BF16C73"/>
    <w:rsid w:val="0C2B68DC"/>
    <w:rsid w:val="0C825B1D"/>
    <w:rsid w:val="0CDB347F"/>
    <w:rsid w:val="0CE045F1"/>
    <w:rsid w:val="0D240982"/>
    <w:rsid w:val="0D9F26FE"/>
    <w:rsid w:val="0DB241E0"/>
    <w:rsid w:val="0DE14AC5"/>
    <w:rsid w:val="0DFE5677"/>
    <w:rsid w:val="0E0B1B42"/>
    <w:rsid w:val="0EC817E1"/>
    <w:rsid w:val="0EE20AF5"/>
    <w:rsid w:val="0F052A35"/>
    <w:rsid w:val="0F307AB2"/>
    <w:rsid w:val="0F3D21CF"/>
    <w:rsid w:val="0F5D461F"/>
    <w:rsid w:val="0FE16FFE"/>
    <w:rsid w:val="1002449F"/>
    <w:rsid w:val="108C5BB3"/>
    <w:rsid w:val="10B93AD7"/>
    <w:rsid w:val="10BD35C7"/>
    <w:rsid w:val="10F13271"/>
    <w:rsid w:val="11000BEA"/>
    <w:rsid w:val="11186A50"/>
    <w:rsid w:val="11203B56"/>
    <w:rsid w:val="11252F1A"/>
    <w:rsid w:val="112E0021"/>
    <w:rsid w:val="11951E4E"/>
    <w:rsid w:val="11BD75F7"/>
    <w:rsid w:val="11E44B84"/>
    <w:rsid w:val="11EE1718"/>
    <w:rsid w:val="12323B41"/>
    <w:rsid w:val="12661A3D"/>
    <w:rsid w:val="12802AFE"/>
    <w:rsid w:val="13225964"/>
    <w:rsid w:val="13B30CB1"/>
    <w:rsid w:val="13B62550"/>
    <w:rsid w:val="13C7650B"/>
    <w:rsid w:val="13E26EA1"/>
    <w:rsid w:val="14643D5A"/>
    <w:rsid w:val="14C173FE"/>
    <w:rsid w:val="14C50C9C"/>
    <w:rsid w:val="14C64A14"/>
    <w:rsid w:val="151D2886"/>
    <w:rsid w:val="156365B8"/>
    <w:rsid w:val="15B12FCF"/>
    <w:rsid w:val="15C56A7A"/>
    <w:rsid w:val="15FA0CD7"/>
    <w:rsid w:val="169C3C7F"/>
    <w:rsid w:val="169F551D"/>
    <w:rsid w:val="16A11295"/>
    <w:rsid w:val="16F5338F"/>
    <w:rsid w:val="17544559"/>
    <w:rsid w:val="177C13BA"/>
    <w:rsid w:val="17F81389"/>
    <w:rsid w:val="17FF6273"/>
    <w:rsid w:val="18407477"/>
    <w:rsid w:val="18583BD5"/>
    <w:rsid w:val="186D58D3"/>
    <w:rsid w:val="18834126"/>
    <w:rsid w:val="189F1804"/>
    <w:rsid w:val="18A24E51"/>
    <w:rsid w:val="18D314AE"/>
    <w:rsid w:val="18F002B2"/>
    <w:rsid w:val="18FA2EDF"/>
    <w:rsid w:val="19063631"/>
    <w:rsid w:val="191A70DD"/>
    <w:rsid w:val="193957B5"/>
    <w:rsid w:val="193E726F"/>
    <w:rsid w:val="19614D0C"/>
    <w:rsid w:val="19A277FE"/>
    <w:rsid w:val="19B117EF"/>
    <w:rsid w:val="19B337B9"/>
    <w:rsid w:val="19C332D1"/>
    <w:rsid w:val="19C534ED"/>
    <w:rsid w:val="19C77265"/>
    <w:rsid w:val="19F31E08"/>
    <w:rsid w:val="1A6745A4"/>
    <w:rsid w:val="1AAE21D3"/>
    <w:rsid w:val="1AD27C6F"/>
    <w:rsid w:val="1ADA6B24"/>
    <w:rsid w:val="1AF5395E"/>
    <w:rsid w:val="1AFA71C6"/>
    <w:rsid w:val="1B252495"/>
    <w:rsid w:val="1B373F76"/>
    <w:rsid w:val="1B395F40"/>
    <w:rsid w:val="1BAA0BEC"/>
    <w:rsid w:val="1BC25F36"/>
    <w:rsid w:val="1BE22134"/>
    <w:rsid w:val="1C0227D6"/>
    <w:rsid w:val="1C69015F"/>
    <w:rsid w:val="1CD6156D"/>
    <w:rsid w:val="1E032835"/>
    <w:rsid w:val="1E114F52"/>
    <w:rsid w:val="1E2527AC"/>
    <w:rsid w:val="1E8F5E77"/>
    <w:rsid w:val="1EB63404"/>
    <w:rsid w:val="1EBB4EBE"/>
    <w:rsid w:val="1ECB5101"/>
    <w:rsid w:val="1F29296D"/>
    <w:rsid w:val="1F69491A"/>
    <w:rsid w:val="1FC009DE"/>
    <w:rsid w:val="1FE3647B"/>
    <w:rsid w:val="20112FE8"/>
    <w:rsid w:val="20337402"/>
    <w:rsid w:val="20384A18"/>
    <w:rsid w:val="20517888"/>
    <w:rsid w:val="20AC0F62"/>
    <w:rsid w:val="20BE47F2"/>
    <w:rsid w:val="21350F58"/>
    <w:rsid w:val="21731A80"/>
    <w:rsid w:val="21B55BF5"/>
    <w:rsid w:val="21C83B7A"/>
    <w:rsid w:val="2268710B"/>
    <w:rsid w:val="228A7081"/>
    <w:rsid w:val="22BA3F45"/>
    <w:rsid w:val="22CA1B74"/>
    <w:rsid w:val="22D64075"/>
    <w:rsid w:val="22E91FFA"/>
    <w:rsid w:val="235C0A1E"/>
    <w:rsid w:val="236B6EB3"/>
    <w:rsid w:val="23AD1279"/>
    <w:rsid w:val="23B95E70"/>
    <w:rsid w:val="24480FA2"/>
    <w:rsid w:val="2452748C"/>
    <w:rsid w:val="245A2A83"/>
    <w:rsid w:val="246851A0"/>
    <w:rsid w:val="249146F7"/>
    <w:rsid w:val="249917FE"/>
    <w:rsid w:val="24DB0068"/>
    <w:rsid w:val="25302162"/>
    <w:rsid w:val="253357AE"/>
    <w:rsid w:val="258949F8"/>
    <w:rsid w:val="25D6620E"/>
    <w:rsid w:val="25D80104"/>
    <w:rsid w:val="2628108B"/>
    <w:rsid w:val="26712A32"/>
    <w:rsid w:val="267C13D7"/>
    <w:rsid w:val="26C1503C"/>
    <w:rsid w:val="26F92A28"/>
    <w:rsid w:val="26FE1DEC"/>
    <w:rsid w:val="272F1FA5"/>
    <w:rsid w:val="275F6D2E"/>
    <w:rsid w:val="277125BE"/>
    <w:rsid w:val="279664C8"/>
    <w:rsid w:val="27BF157B"/>
    <w:rsid w:val="27D33279"/>
    <w:rsid w:val="27ED6B9C"/>
    <w:rsid w:val="27F51441"/>
    <w:rsid w:val="28304227"/>
    <w:rsid w:val="283755B5"/>
    <w:rsid w:val="2858591E"/>
    <w:rsid w:val="288400CF"/>
    <w:rsid w:val="28A569C3"/>
    <w:rsid w:val="28CD7CC8"/>
    <w:rsid w:val="28EA087A"/>
    <w:rsid w:val="290F6532"/>
    <w:rsid w:val="291678C1"/>
    <w:rsid w:val="29345F99"/>
    <w:rsid w:val="29543F45"/>
    <w:rsid w:val="296A3769"/>
    <w:rsid w:val="299F1664"/>
    <w:rsid w:val="29E03A2B"/>
    <w:rsid w:val="2A102562"/>
    <w:rsid w:val="2AA64C74"/>
    <w:rsid w:val="2AB56C65"/>
    <w:rsid w:val="2AEB3C5A"/>
    <w:rsid w:val="2AEC6B2B"/>
    <w:rsid w:val="2B011EAB"/>
    <w:rsid w:val="2B193698"/>
    <w:rsid w:val="2B536BAA"/>
    <w:rsid w:val="2B6366C1"/>
    <w:rsid w:val="2B876854"/>
    <w:rsid w:val="2C3562B0"/>
    <w:rsid w:val="2C633EB8"/>
    <w:rsid w:val="2C673F8F"/>
    <w:rsid w:val="2C7E7C57"/>
    <w:rsid w:val="2C851E0F"/>
    <w:rsid w:val="2C932FD6"/>
    <w:rsid w:val="2CCF04B2"/>
    <w:rsid w:val="2D1E0AF2"/>
    <w:rsid w:val="2D256324"/>
    <w:rsid w:val="2D285E15"/>
    <w:rsid w:val="2D652BC5"/>
    <w:rsid w:val="2D9139BA"/>
    <w:rsid w:val="2D9D410D"/>
    <w:rsid w:val="2E1122DB"/>
    <w:rsid w:val="2E3507E9"/>
    <w:rsid w:val="2E47405C"/>
    <w:rsid w:val="2E5D389C"/>
    <w:rsid w:val="2E692241"/>
    <w:rsid w:val="2EB21E3A"/>
    <w:rsid w:val="2EBD433B"/>
    <w:rsid w:val="2F300FB0"/>
    <w:rsid w:val="2F3C7955"/>
    <w:rsid w:val="2F522CD5"/>
    <w:rsid w:val="2F7B66D0"/>
    <w:rsid w:val="2F837A4C"/>
    <w:rsid w:val="2F9A71B5"/>
    <w:rsid w:val="2FDD2EE6"/>
    <w:rsid w:val="2FEF2C1A"/>
    <w:rsid w:val="30406FD1"/>
    <w:rsid w:val="304312C5"/>
    <w:rsid w:val="30C95219"/>
    <w:rsid w:val="30E81B43"/>
    <w:rsid w:val="3135465C"/>
    <w:rsid w:val="313A6116"/>
    <w:rsid w:val="3148438F"/>
    <w:rsid w:val="314E571E"/>
    <w:rsid w:val="31701B38"/>
    <w:rsid w:val="31C003CA"/>
    <w:rsid w:val="320E7B77"/>
    <w:rsid w:val="325F4087"/>
    <w:rsid w:val="32713DBA"/>
    <w:rsid w:val="332B5D17"/>
    <w:rsid w:val="33977850"/>
    <w:rsid w:val="33D740F0"/>
    <w:rsid w:val="342842DC"/>
    <w:rsid w:val="342E1F62"/>
    <w:rsid w:val="344829C9"/>
    <w:rsid w:val="34790D04"/>
    <w:rsid w:val="34AE30A3"/>
    <w:rsid w:val="350E769E"/>
    <w:rsid w:val="3550415A"/>
    <w:rsid w:val="358D2CB9"/>
    <w:rsid w:val="35E548A3"/>
    <w:rsid w:val="35EB79DF"/>
    <w:rsid w:val="35F25212"/>
    <w:rsid w:val="35F92264"/>
    <w:rsid w:val="36317AE8"/>
    <w:rsid w:val="363B0967"/>
    <w:rsid w:val="36996E83"/>
    <w:rsid w:val="36D36DF1"/>
    <w:rsid w:val="36F34D9D"/>
    <w:rsid w:val="37427AD3"/>
    <w:rsid w:val="379C3687"/>
    <w:rsid w:val="38194CD8"/>
    <w:rsid w:val="388C36FB"/>
    <w:rsid w:val="38B60778"/>
    <w:rsid w:val="38BF587F"/>
    <w:rsid w:val="38CC3AF8"/>
    <w:rsid w:val="38FB262F"/>
    <w:rsid w:val="3902576C"/>
    <w:rsid w:val="391D07F7"/>
    <w:rsid w:val="39203E44"/>
    <w:rsid w:val="39534219"/>
    <w:rsid w:val="39663F4D"/>
    <w:rsid w:val="39C46EC5"/>
    <w:rsid w:val="39E11825"/>
    <w:rsid w:val="39FF0CD8"/>
    <w:rsid w:val="3A175247"/>
    <w:rsid w:val="3A2D05C6"/>
    <w:rsid w:val="3A2F07E2"/>
    <w:rsid w:val="3A3000B7"/>
    <w:rsid w:val="3A63223A"/>
    <w:rsid w:val="3A8328DC"/>
    <w:rsid w:val="3A856654"/>
    <w:rsid w:val="3A9C574C"/>
    <w:rsid w:val="3A9E3272"/>
    <w:rsid w:val="3AD76784"/>
    <w:rsid w:val="3ADE5D64"/>
    <w:rsid w:val="3AEA295B"/>
    <w:rsid w:val="3B457B92"/>
    <w:rsid w:val="3B53405D"/>
    <w:rsid w:val="3BAC5E63"/>
    <w:rsid w:val="3BCC2061"/>
    <w:rsid w:val="3BF82E56"/>
    <w:rsid w:val="3BFF41E4"/>
    <w:rsid w:val="3BFF5F92"/>
    <w:rsid w:val="3C526A0A"/>
    <w:rsid w:val="3C5462DE"/>
    <w:rsid w:val="3C577B7C"/>
    <w:rsid w:val="3C7F70D3"/>
    <w:rsid w:val="3CAA4150"/>
    <w:rsid w:val="3CF63839"/>
    <w:rsid w:val="3D12278C"/>
    <w:rsid w:val="3D136199"/>
    <w:rsid w:val="3D6E1622"/>
    <w:rsid w:val="3D711112"/>
    <w:rsid w:val="3D74475E"/>
    <w:rsid w:val="3D9F527F"/>
    <w:rsid w:val="3DB86D41"/>
    <w:rsid w:val="3DEA7081"/>
    <w:rsid w:val="3E154DA9"/>
    <w:rsid w:val="3E546A69"/>
    <w:rsid w:val="3E7E3AE6"/>
    <w:rsid w:val="3EC3774B"/>
    <w:rsid w:val="3ED23E32"/>
    <w:rsid w:val="3EE01103"/>
    <w:rsid w:val="3EE651E8"/>
    <w:rsid w:val="3FAC0486"/>
    <w:rsid w:val="3FC217B1"/>
    <w:rsid w:val="3FE652DA"/>
    <w:rsid w:val="401C35B7"/>
    <w:rsid w:val="403501D5"/>
    <w:rsid w:val="40BE641C"/>
    <w:rsid w:val="40D07EFD"/>
    <w:rsid w:val="41232723"/>
    <w:rsid w:val="41AA4BF2"/>
    <w:rsid w:val="41B255C8"/>
    <w:rsid w:val="41D41C6F"/>
    <w:rsid w:val="42165DE4"/>
    <w:rsid w:val="426B4382"/>
    <w:rsid w:val="426D634C"/>
    <w:rsid w:val="42755200"/>
    <w:rsid w:val="42A81132"/>
    <w:rsid w:val="42C341BE"/>
    <w:rsid w:val="42D00689"/>
    <w:rsid w:val="43192030"/>
    <w:rsid w:val="431F6F1A"/>
    <w:rsid w:val="43B41D58"/>
    <w:rsid w:val="43B9736F"/>
    <w:rsid w:val="43CA332A"/>
    <w:rsid w:val="440E1469"/>
    <w:rsid w:val="441822E7"/>
    <w:rsid w:val="44185E43"/>
    <w:rsid w:val="442E1B0B"/>
    <w:rsid w:val="444E3F5B"/>
    <w:rsid w:val="4464552C"/>
    <w:rsid w:val="446B68BB"/>
    <w:rsid w:val="44A26055"/>
    <w:rsid w:val="44E272A8"/>
    <w:rsid w:val="44EF3FD1"/>
    <w:rsid w:val="457C0654"/>
    <w:rsid w:val="45B55914"/>
    <w:rsid w:val="45C2075D"/>
    <w:rsid w:val="464473C4"/>
    <w:rsid w:val="469D2F78"/>
    <w:rsid w:val="46DA1AD6"/>
    <w:rsid w:val="46FC1A4C"/>
    <w:rsid w:val="47190850"/>
    <w:rsid w:val="47721D0E"/>
    <w:rsid w:val="47BF7590"/>
    <w:rsid w:val="47EF335F"/>
    <w:rsid w:val="487D6BBD"/>
    <w:rsid w:val="48B325DE"/>
    <w:rsid w:val="490B5F77"/>
    <w:rsid w:val="49736367"/>
    <w:rsid w:val="49C66341"/>
    <w:rsid w:val="49DB1DED"/>
    <w:rsid w:val="49FE5ADB"/>
    <w:rsid w:val="4A0155CC"/>
    <w:rsid w:val="4AA448D5"/>
    <w:rsid w:val="4B1732F9"/>
    <w:rsid w:val="4BA3693A"/>
    <w:rsid w:val="4BC93EC7"/>
    <w:rsid w:val="4BD50ABE"/>
    <w:rsid w:val="4BEA27BB"/>
    <w:rsid w:val="4C147838"/>
    <w:rsid w:val="4C6521D2"/>
    <w:rsid w:val="4C786019"/>
    <w:rsid w:val="4D4E28D6"/>
    <w:rsid w:val="4D722A68"/>
    <w:rsid w:val="4DAF7C6A"/>
    <w:rsid w:val="4E451F2B"/>
    <w:rsid w:val="4E775E5C"/>
    <w:rsid w:val="4E994025"/>
    <w:rsid w:val="4EEF633A"/>
    <w:rsid w:val="4F2E6E63"/>
    <w:rsid w:val="4F322AC9"/>
    <w:rsid w:val="4F38383D"/>
    <w:rsid w:val="4FA709C3"/>
    <w:rsid w:val="4FD5531F"/>
    <w:rsid w:val="4FDC68BF"/>
    <w:rsid w:val="501F0559"/>
    <w:rsid w:val="50354221"/>
    <w:rsid w:val="5038161B"/>
    <w:rsid w:val="50C01D3C"/>
    <w:rsid w:val="50D8235D"/>
    <w:rsid w:val="51423EF1"/>
    <w:rsid w:val="51450494"/>
    <w:rsid w:val="51491D32"/>
    <w:rsid w:val="5156444F"/>
    <w:rsid w:val="51AC0513"/>
    <w:rsid w:val="51C413B8"/>
    <w:rsid w:val="51ED5BEA"/>
    <w:rsid w:val="52021EE1"/>
    <w:rsid w:val="522E0F28"/>
    <w:rsid w:val="522E717A"/>
    <w:rsid w:val="52416EAD"/>
    <w:rsid w:val="52A336C4"/>
    <w:rsid w:val="52F67C97"/>
    <w:rsid w:val="53146370"/>
    <w:rsid w:val="53486019"/>
    <w:rsid w:val="5349426B"/>
    <w:rsid w:val="5380105E"/>
    <w:rsid w:val="538F3C48"/>
    <w:rsid w:val="53955F69"/>
    <w:rsid w:val="539574B0"/>
    <w:rsid w:val="53A771E4"/>
    <w:rsid w:val="53CC6C4A"/>
    <w:rsid w:val="53D241D7"/>
    <w:rsid w:val="53EE096F"/>
    <w:rsid w:val="53FF492A"/>
    <w:rsid w:val="544762D1"/>
    <w:rsid w:val="54505185"/>
    <w:rsid w:val="545253A1"/>
    <w:rsid w:val="5495703C"/>
    <w:rsid w:val="54992FD0"/>
    <w:rsid w:val="54D9161F"/>
    <w:rsid w:val="54F46459"/>
    <w:rsid w:val="552C5BF2"/>
    <w:rsid w:val="552C79A0"/>
    <w:rsid w:val="55425416"/>
    <w:rsid w:val="55570796"/>
    <w:rsid w:val="55807CEC"/>
    <w:rsid w:val="55B87486"/>
    <w:rsid w:val="561C5C67"/>
    <w:rsid w:val="5621327D"/>
    <w:rsid w:val="56486A5C"/>
    <w:rsid w:val="56867584"/>
    <w:rsid w:val="56A17F1A"/>
    <w:rsid w:val="57560D05"/>
    <w:rsid w:val="57684EDC"/>
    <w:rsid w:val="57727B09"/>
    <w:rsid w:val="578A30A4"/>
    <w:rsid w:val="57A557E8"/>
    <w:rsid w:val="58044C05"/>
    <w:rsid w:val="580C3AB9"/>
    <w:rsid w:val="58177813"/>
    <w:rsid w:val="582E3A30"/>
    <w:rsid w:val="584E5E80"/>
    <w:rsid w:val="58977827"/>
    <w:rsid w:val="58D97E3F"/>
    <w:rsid w:val="59034EBC"/>
    <w:rsid w:val="591946E0"/>
    <w:rsid w:val="593E4146"/>
    <w:rsid w:val="59417793"/>
    <w:rsid w:val="59441031"/>
    <w:rsid w:val="594B0611"/>
    <w:rsid w:val="59561490"/>
    <w:rsid w:val="599124C8"/>
    <w:rsid w:val="59C06909"/>
    <w:rsid w:val="59E20F76"/>
    <w:rsid w:val="59FA62BF"/>
    <w:rsid w:val="5AB75F5E"/>
    <w:rsid w:val="5B3ECD8A"/>
    <w:rsid w:val="5B953DC6"/>
    <w:rsid w:val="5C076A71"/>
    <w:rsid w:val="5C2C297C"/>
    <w:rsid w:val="5C45759A"/>
    <w:rsid w:val="5C593045"/>
    <w:rsid w:val="5C700ABB"/>
    <w:rsid w:val="5CDF354A"/>
    <w:rsid w:val="5D0C00B7"/>
    <w:rsid w:val="5D5814D3"/>
    <w:rsid w:val="5D83481E"/>
    <w:rsid w:val="5D9663F4"/>
    <w:rsid w:val="5DBB3FB7"/>
    <w:rsid w:val="5E135BA1"/>
    <w:rsid w:val="5E1E4546"/>
    <w:rsid w:val="5E2356B9"/>
    <w:rsid w:val="5E5D6E1D"/>
    <w:rsid w:val="5E710B1A"/>
    <w:rsid w:val="5EBF3633"/>
    <w:rsid w:val="5EFE2B01"/>
    <w:rsid w:val="5F1576F7"/>
    <w:rsid w:val="5FC81A4F"/>
    <w:rsid w:val="5FE02B0A"/>
    <w:rsid w:val="5FE1701C"/>
    <w:rsid w:val="5FEB66AA"/>
    <w:rsid w:val="5FFB68ED"/>
    <w:rsid w:val="60340051"/>
    <w:rsid w:val="60453C66"/>
    <w:rsid w:val="604D6A0D"/>
    <w:rsid w:val="607246D5"/>
    <w:rsid w:val="60793CB6"/>
    <w:rsid w:val="614E0C9F"/>
    <w:rsid w:val="616E1341"/>
    <w:rsid w:val="61B50D1E"/>
    <w:rsid w:val="623B56C7"/>
    <w:rsid w:val="628958C8"/>
    <w:rsid w:val="62D358FF"/>
    <w:rsid w:val="63611187"/>
    <w:rsid w:val="63ED29F1"/>
    <w:rsid w:val="63F9195E"/>
    <w:rsid w:val="642F4DB7"/>
    <w:rsid w:val="647E7AED"/>
    <w:rsid w:val="64AA6B34"/>
    <w:rsid w:val="64AD2180"/>
    <w:rsid w:val="64E060B2"/>
    <w:rsid w:val="65077AE2"/>
    <w:rsid w:val="651B60C2"/>
    <w:rsid w:val="656A1E1F"/>
    <w:rsid w:val="65775586"/>
    <w:rsid w:val="65FC6F1B"/>
    <w:rsid w:val="65FF8136"/>
    <w:rsid w:val="66546D57"/>
    <w:rsid w:val="66903B07"/>
    <w:rsid w:val="66AF21DF"/>
    <w:rsid w:val="66BD3B89"/>
    <w:rsid w:val="66FD65EC"/>
    <w:rsid w:val="671D539B"/>
    <w:rsid w:val="67931B01"/>
    <w:rsid w:val="679F04A6"/>
    <w:rsid w:val="67AE693B"/>
    <w:rsid w:val="67C1666E"/>
    <w:rsid w:val="67FF0F45"/>
    <w:rsid w:val="682E35D8"/>
    <w:rsid w:val="683706DE"/>
    <w:rsid w:val="68541290"/>
    <w:rsid w:val="689E250C"/>
    <w:rsid w:val="68C06926"/>
    <w:rsid w:val="69252C2D"/>
    <w:rsid w:val="69594684"/>
    <w:rsid w:val="69603C65"/>
    <w:rsid w:val="69796AD5"/>
    <w:rsid w:val="69961435"/>
    <w:rsid w:val="69A55B1C"/>
    <w:rsid w:val="69CD5F85"/>
    <w:rsid w:val="69D41F5D"/>
    <w:rsid w:val="69DB32EB"/>
    <w:rsid w:val="6A0942FC"/>
    <w:rsid w:val="6A1D4C73"/>
    <w:rsid w:val="6A4E1D0F"/>
    <w:rsid w:val="6ACD532A"/>
    <w:rsid w:val="6AEA7C8A"/>
    <w:rsid w:val="6B1E7934"/>
    <w:rsid w:val="6B347157"/>
    <w:rsid w:val="6B874A80"/>
    <w:rsid w:val="6B881251"/>
    <w:rsid w:val="6BB362CE"/>
    <w:rsid w:val="6BF07522"/>
    <w:rsid w:val="6C264CF2"/>
    <w:rsid w:val="6C3513D9"/>
    <w:rsid w:val="6C6121CE"/>
    <w:rsid w:val="6D3E42BD"/>
    <w:rsid w:val="6D940381"/>
    <w:rsid w:val="6DBB590E"/>
    <w:rsid w:val="6DE50BDD"/>
    <w:rsid w:val="6DE62B47"/>
    <w:rsid w:val="6E182D60"/>
    <w:rsid w:val="6E3D6323"/>
    <w:rsid w:val="6E4F6056"/>
    <w:rsid w:val="6EC32CCC"/>
    <w:rsid w:val="6ECE1671"/>
    <w:rsid w:val="6EE175F6"/>
    <w:rsid w:val="6F6822D7"/>
    <w:rsid w:val="6F833042"/>
    <w:rsid w:val="6F9E7295"/>
    <w:rsid w:val="6FA80114"/>
    <w:rsid w:val="6FC0720B"/>
    <w:rsid w:val="704B11CB"/>
    <w:rsid w:val="705C7751"/>
    <w:rsid w:val="706D2F4B"/>
    <w:rsid w:val="70FA499F"/>
    <w:rsid w:val="711517D9"/>
    <w:rsid w:val="712776CC"/>
    <w:rsid w:val="71341C5F"/>
    <w:rsid w:val="715B3690"/>
    <w:rsid w:val="71BC7EA6"/>
    <w:rsid w:val="71F15DA2"/>
    <w:rsid w:val="7218332F"/>
    <w:rsid w:val="72421725"/>
    <w:rsid w:val="726F4F19"/>
    <w:rsid w:val="72BD7A32"/>
    <w:rsid w:val="72D8486C"/>
    <w:rsid w:val="72EE22E1"/>
    <w:rsid w:val="72F13B80"/>
    <w:rsid w:val="72FA5CB5"/>
    <w:rsid w:val="72FF004B"/>
    <w:rsid w:val="735465E8"/>
    <w:rsid w:val="73993FFB"/>
    <w:rsid w:val="73C60B68"/>
    <w:rsid w:val="742F4960"/>
    <w:rsid w:val="745368A0"/>
    <w:rsid w:val="74620891"/>
    <w:rsid w:val="74E4574A"/>
    <w:rsid w:val="74F160B9"/>
    <w:rsid w:val="752B472E"/>
    <w:rsid w:val="758E56B6"/>
    <w:rsid w:val="75C31803"/>
    <w:rsid w:val="75D51537"/>
    <w:rsid w:val="75DC4673"/>
    <w:rsid w:val="75E52843"/>
    <w:rsid w:val="75FF5716"/>
    <w:rsid w:val="76360227"/>
    <w:rsid w:val="76465F91"/>
    <w:rsid w:val="766C3C49"/>
    <w:rsid w:val="76854D0B"/>
    <w:rsid w:val="768A0573"/>
    <w:rsid w:val="76E924FD"/>
    <w:rsid w:val="772207AC"/>
    <w:rsid w:val="7730111A"/>
    <w:rsid w:val="773C7ABF"/>
    <w:rsid w:val="775F555C"/>
    <w:rsid w:val="7772528F"/>
    <w:rsid w:val="77901BB9"/>
    <w:rsid w:val="77A43A6B"/>
    <w:rsid w:val="77E617D9"/>
    <w:rsid w:val="77EFFCF2"/>
    <w:rsid w:val="780D4FB8"/>
    <w:rsid w:val="782347DB"/>
    <w:rsid w:val="78280044"/>
    <w:rsid w:val="78680440"/>
    <w:rsid w:val="789E20B4"/>
    <w:rsid w:val="78A0407E"/>
    <w:rsid w:val="78A7540C"/>
    <w:rsid w:val="78AD18CD"/>
    <w:rsid w:val="78DD498A"/>
    <w:rsid w:val="78E71CAD"/>
    <w:rsid w:val="7924080B"/>
    <w:rsid w:val="796926C2"/>
    <w:rsid w:val="797C218B"/>
    <w:rsid w:val="79A731EA"/>
    <w:rsid w:val="79EB1329"/>
    <w:rsid w:val="7A123DB6"/>
    <w:rsid w:val="7A6B246A"/>
    <w:rsid w:val="7A8552D9"/>
    <w:rsid w:val="7ACC2F08"/>
    <w:rsid w:val="7B0DEBBB"/>
    <w:rsid w:val="7B114DBF"/>
    <w:rsid w:val="7B4E6013"/>
    <w:rsid w:val="7B580C40"/>
    <w:rsid w:val="7B7A2964"/>
    <w:rsid w:val="7B803CF3"/>
    <w:rsid w:val="7BEECF46"/>
    <w:rsid w:val="7BF704C2"/>
    <w:rsid w:val="7C0B0F2B"/>
    <w:rsid w:val="7C945CA8"/>
    <w:rsid w:val="7CA393B3"/>
    <w:rsid w:val="7CBA20AA"/>
    <w:rsid w:val="7D884CF3"/>
    <w:rsid w:val="7DC2087C"/>
    <w:rsid w:val="7E4454AB"/>
    <w:rsid w:val="7EA128FE"/>
    <w:rsid w:val="7EFF776B"/>
    <w:rsid w:val="7F337154"/>
    <w:rsid w:val="7FA97CBC"/>
    <w:rsid w:val="7FED152D"/>
    <w:rsid w:val="7FFD7E66"/>
    <w:rsid w:val="B5EFA0C0"/>
    <w:rsid w:val="C7E92A5F"/>
    <w:rsid w:val="CE171D70"/>
    <w:rsid w:val="D7CDF66E"/>
    <w:rsid w:val="E7CA49CF"/>
    <w:rsid w:val="F7AF7F2A"/>
    <w:rsid w:val="F9FFD381"/>
    <w:rsid w:val="FDBD33C1"/>
    <w:rsid w:val="FDFED87C"/>
    <w:rsid w:val="FE7BB6CB"/>
    <w:rsid w:val="FEBB4D4C"/>
    <w:rsid w:val="FEFB5316"/>
    <w:rsid w:val="FF1FD1FC"/>
    <w:rsid w:val="FFC43C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outlineLvl w:val="1"/>
    </w:pPr>
    <w:rPr>
      <w:rFonts w:ascii="Cambria" w:hAnsi="Cambria" w:eastAsia="宋体" w:cs="Times New Roman"/>
      <w:b/>
      <w:bCs/>
      <w:color w:val="000000"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6">
    <w:name w:val="toc 3"/>
    <w:basedOn w:val="1"/>
    <w:next w:val="1"/>
    <w:qFormat/>
    <w:uiPriority w:val="0"/>
    <w:pPr>
      <w:ind w:left="480"/>
    </w:p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</w:style>
  <w:style w:type="paragraph" w:styleId="10">
    <w:name w:val="toc 2"/>
    <w:basedOn w:val="1"/>
    <w:next w:val="1"/>
    <w:qFormat/>
    <w:uiPriority w:val="39"/>
    <w:pPr>
      <w:ind w:left="420" w:leftChars="200"/>
    </w:p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character" w:styleId="15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6">
    <w:name w:val="文档结构图 Char"/>
    <w:basedOn w:val="14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17">
    <w:name w:val="页脚 Char"/>
    <w:basedOn w:val="14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眉 Char"/>
    <w:basedOn w:val="14"/>
    <w:link w:val="8"/>
    <w:qFormat/>
    <w:uiPriority w:val="0"/>
    <w:rPr>
      <w:rFonts w:ascii="Calibri" w:hAnsi="Calibri" w:eastAsia="宋体"/>
      <w:kern w:val="2"/>
      <w:sz w:val="18"/>
      <w:szCs w:val="18"/>
    </w:rPr>
  </w:style>
  <w:style w:type="paragraph" w:customStyle="1" w:styleId="19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20">
    <w:name w:val="WPSOffice手动目录 2"/>
    <w:qFormat/>
    <w:uiPriority w:val="0"/>
    <w:pPr>
      <w:ind w:left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21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kern w:val="2"/>
      <w:szCs w:val="21"/>
    </w:rPr>
  </w:style>
  <w:style w:type="paragraph" w:customStyle="1" w:styleId="22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  <w:lang w:val="en-US" w:eastAsia="en-US" w:bidi="ar-SA"/>
    </w:rPr>
  </w:style>
  <w:style w:type="paragraph" w:customStyle="1" w:styleId="23">
    <w:name w:val="列表段落11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1515</Words>
  <Characters>1702</Characters>
  <Lines>28</Lines>
  <Paragraphs>8</Paragraphs>
  <TotalTime>2</TotalTime>
  <ScaleCrop>false</ScaleCrop>
  <LinksUpToDate>false</LinksUpToDate>
  <CharactersWithSpaces>1739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2021-12-11T13:21:00Z</dcterms:created>
  <dc:creator>Administrator</dc:creator>
  <cp:lastModifiedBy>黄鲁霞</cp:lastModifiedBy>
  <dcterms:modified xsi:type="dcterms:W3CDTF">2025-11-17T02:25:12Z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B23646175991EE9591C40969AF100DB8_43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eyJoZGlkIjoiMGNkMTYyM2Y0OWNjNzU1OWRjZDY0NmI1YmY4ODM2OTQiLCJ1c2VySWQiOiIxNTgyMzk3OTczIn0=</vt:lpwstr>
  </property>
</Properties>
</file>