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33447">
      <w:pPr>
        <w:jc w:val="both"/>
        <w:rPr>
          <w:rFonts w:hint="eastAsia" w:ascii="宋体" w:hAnsi="宋体"/>
          <w:b/>
          <w:sz w:val="56"/>
          <w:szCs w:val="52"/>
        </w:rPr>
      </w:pPr>
    </w:p>
    <w:p w14:paraId="35E16154">
      <w:pPr>
        <w:ind w:firstLine="562" w:firstLineChars="100"/>
        <w:rPr>
          <w:rFonts w:ascii="宋体" w:hAnsi="宋体"/>
          <w:b/>
          <w:sz w:val="56"/>
          <w:szCs w:val="52"/>
        </w:rPr>
      </w:pPr>
      <w:r>
        <w:rPr>
          <w:rFonts w:hint="eastAsia" w:ascii="宋体" w:hAnsi="宋体"/>
          <w:b/>
          <w:sz w:val="56"/>
          <w:szCs w:val="52"/>
        </w:rPr>
        <w:t>维普毕业</w:t>
      </w:r>
      <w:r>
        <w:rPr>
          <w:rFonts w:hint="eastAsia" w:ascii="宋体" w:hAnsi="宋体"/>
          <w:b/>
          <w:sz w:val="56"/>
          <w:szCs w:val="52"/>
          <w:lang w:val="en-US" w:eastAsia="zh-CN"/>
        </w:rPr>
        <w:t>论文</w:t>
      </w:r>
      <w:r>
        <w:rPr>
          <w:rFonts w:hint="eastAsia" w:ascii="宋体" w:hAnsi="宋体"/>
          <w:b/>
          <w:sz w:val="56"/>
          <w:szCs w:val="52"/>
        </w:rPr>
        <w:t>（</w:t>
      </w:r>
      <w:r>
        <w:rPr>
          <w:rFonts w:hint="eastAsia" w:ascii="宋体" w:hAnsi="宋体"/>
          <w:b/>
          <w:sz w:val="56"/>
          <w:szCs w:val="52"/>
          <w:lang w:val="en-US" w:eastAsia="zh-CN"/>
        </w:rPr>
        <w:t>设计</w:t>
      </w:r>
      <w:r>
        <w:rPr>
          <w:rFonts w:hint="eastAsia" w:ascii="宋体" w:hAnsi="宋体"/>
          <w:b/>
          <w:sz w:val="56"/>
          <w:szCs w:val="52"/>
        </w:rPr>
        <w:t>）管理系统</w:t>
      </w:r>
    </w:p>
    <w:p w14:paraId="738E1575">
      <w:pPr>
        <w:rPr>
          <w:rFonts w:ascii="宋体" w:hAnsi="宋体"/>
        </w:rPr>
      </w:pPr>
    </w:p>
    <w:p w14:paraId="078CED7D">
      <w:pPr>
        <w:rPr>
          <w:rFonts w:ascii="宋体" w:hAnsi="宋体"/>
        </w:rPr>
      </w:pPr>
    </w:p>
    <w:p w14:paraId="6CF6AEC2">
      <w:pPr>
        <w:rPr>
          <w:rFonts w:ascii="宋体" w:hAnsi="宋体"/>
        </w:rPr>
      </w:pPr>
    </w:p>
    <w:p w14:paraId="6D2E0A40">
      <w:pPr>
        <w:rPr>
          <w:rFonts w:ascii="宋体" w:hAnsi="宋体"/>
        </w:rPr>
      </w:pPr>
    </w:p>
    <w:p w14:paraId="1EE15929">
      <w:pPr>
        <w:rPr>
          <w:rFonts w:ascii="宋体" w:hAnsi="宋体"/>
        </w:rPr>
      </w:pPr>
    </w:p>
    <w:p w14:paraId="3541A9EA">
      <w:pPr>
        <w:rPr>
          <w:rFonts w:ascii="宋体" w:hAnsi="宋体"/>
        </w:rPr>
      </w:pPr>
    </w:p>
    <w:p w14:paraId="548A216C">
      <w:pPr>
        <w:rPr>
          <w:rFonts w:ascii="宋体" w:hAnsi="宋体"/>
        </w:rPr>
      </w:pPr>
    </w:p>
    <w:p w14:paraId="5D5E203E">
      <w:pPr>
        <w:rPr>
          <w:rFonts w:ascii="宋体" w:hAnsi="宋体"/>
        </w:rPr>
      </w:pPr>
    </w:p>
    <w:p w14:paraId="0D4B7CBF">
      <w:pPr>
        <w:jc w:val="center"/>
        <w:outlineLvl w:val="0"/>
        <w:rPr>
          <w:rFonts w:ascii="宋体" w:hAnsi="宋体"/>
          <w:b/>
          <w:sz w:val="56"/>
          <w:szCs w:val="52"/>
        </w:rPr>
      </w:pPr>
      <w:bookmarkStart w:id="0" w:name="_Toc16608"/>
      <w:bookmarkStart w:id="1" w:name="_Toc20528"/>
      <w:bookmarkStart w:id="2" w:name="_Toc24944"/>
      <w:bookmarkStart w:id="3" w:name="_Toc1287"/>
      <w:bookmarkStart w:id="4" w:name="_Toc5184"/>
      <w:bookmarkStart w:id="5" w:name="_Toc10028"/>
      <w:bookmarkStart w:id="6" w:name="_Toc24241"/>
      <w:r>
        <w:rPr>
          <w:rFonts w:hint="eastAsia" w:ascii="宋体" w:hAnsi="宋体"/>
          <w:b/>
          <w:sz w:val="56"/>
          <w:szCs w:val="52"/>
        </w:rPr>
        <w:t>用户操作手册</w:t>
      </w:r>
      <w:bookmarkEnd w:id="0"/>
      <w:bookmarkEnd w:id="1"/>
      <w:bookmarkEnd w:id="2"/>
      <w:bookmarkEnd w:id="3"/>
      <w:bookmarkEnd w:id="4"/>
      <w:bookmarkEnd w:id="5"/>
      <w:bookmarkEnd w:id="6"/>
    </w:p>
    <w:p w14:paraId="2594E74C">
      <w:pPr>
        <w:jc w:val="center"/>
        <w:rPr>
          <w:rFonts w:ascii="宋体" w:hAnsi="宋体"/>
          <w:b/>
          <w:sz w:val="48"/>
          <w:szCs w:val="52"/>
        </w:rPr>
      </w:pPr>
      <w:r>
        <w:rPr>
          <w:rFonts w:hint="eastAsia" w:ascii="宋体" w:hAnsi="宋体"/>
          <w:b/>
          <w:sz w:val="48"/>
          <w:szCs w:val="52"/>
        </w:rPr>
        <w:t>（</w:t>
      </w:r>
      <w:r>
        <w:rPr>
          <w:rFonts w:hint="eastAsia" w:ascii="宋体" w:hAnsi="宋体"/>
          <w:b/>
          <w:sz w:val="48"/>
          <w:szCs w:val="52"/>
          <w:lang w:val="en-US" w:eastAsia="zh-CN"/>
        </w:rPr>
        <w:t>学生</w:t>
      </w:r>
      <w:r>
        <w:rPr>
          <w:rFonts w:ascii="宋体" w:hAnsi="宋体"/>
          <w:b/>
          <w:sz w:val="48"/>
          <w:u w:color="auto"/>
        </w:rPr>
        <w:t>角色</w:t>
      </w:r>
      <w:r>
        <w:rPr>
          <w:rFonts w:hint="eastAsia" w:ascii="宋体" w:hAnsi="宋体"/>
          <w:b/>
          <w:sz w:val="48"/>
          <w:szCs w:val="52"/>
        </w:rPr>
        <w:t>）</w:t>
      </w:r>
    </w:p>
    <w:p w14:paraId="07B42119">
      <w:pPr>
        <w:rPr>
          <w:rFonts w:ascii="宋体" w:hAnsi="宋体"/>
        </w:rPr>
      </w:pPr>
    </w:p>
    <w:p w14:paraId="0D6B71A0">
      <w:pPr>
        <w:rPr>
          <w:rFonts w:ascii="宋体" w:hAnsi="宋体"/>
        </w:rPr>
      </w:pPr>
    </w:p>
    <w:p w14:paraId="0DCC2457">
      <w:pPr>
        <w:rPr>
          <w:rFonts w:ascii="宋体" w:hAnsi="宋体"/>
        </w:rPr>
      </w:pPr>
    </w:p>
    <w:p w14:paraId="295A91AB">
      <w:pPr>
        <w:rPr>
          <w:rFonts w:ascii="宋体" w:hAnsi="宋体"/>
        </w:rPr>
      </w:pPr>
    </w:p>
    <w:p w14:paraId="2E8B8F2E">
      <w:pPr>
        <w:rPr>
          <w:rFonts w:ascii="宋体" w:hAnsi="宋体"/>
        </w:rPr>
      </w:pPr>
    </w:p>
    <w:p w14:paraId="6AA274BD">
      <w:pPr>
        <w:rPr>
          <w:rFonts w:ascii="宋体" w:hAnsi="宋体"/>
        </w:rPr>
      </w:pPr>
    </w:p>
    <w:p w14:paraId="6CA6C584">
      <w:pPr>
        <w:jc w:val="center"/>
        <w:outlineLvl w:val="0"/>
        <w:rPr>
          <w:rFonts w:ascii="宋体" w:hAnsi="宋体"/>
          <w:sz w:val="30"/>
          <w:szCs w:val="30"/>
        </w:rPr>
      </w:pPr>
      <w:bookmarkStart w:id="7" w:name="_Toc24853"/>
      <w:bookmarkStart w:id="8" w:name="_Toc1785"/>
      <w:bookmarkStart w:id="9" w:name="_Toc1038"/>
      <w:bookmarkStart w:id="10" w:name="_Toc15177"/>
      <w:bookmarkStart w:id="11" w:name="_Toc16472"/>
      <w:bookmarkStart w:id="12" w:name="_Toc11013"/>
      <w:r>
        <w:rPr>
          <w:rFonts w:hint="eastAsia" w:ascii="宋体" w:hAnsi="宋体"/>
          <w:sz w:val="30"/>
          <w:szCs w:val="30"/>
        </w:rPr>
        <w:t>重庆泛语科技有限公司</w:t>
      </w:r>
      <w:bookmarkEnd w:id="7"/>
      <w:bookmarkEnd w:id="8"/>
      <w:bookmarkEnd w:id="9"/>
      <w:bookmarkEnd w:id="10"/>
      <w:bookmarkEnd w:id="11"/>
      <w:bookmarkEnd w:id="12"/>
    </w:p>
    <w:p w14:paraId="27B66330"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br w:type="page"/>
      </w:r>
    </w:p>
    <w:p w14:paraId="135CAA7F">
      <w:pPr>
        <w:ind w:firstLine="2108" w:firstLineChars="1000"/>
        <w:jc w:val="left"/>
        <w:rPr>
          <w:rFonts w:hint="default" w:ascii="宋体" w:hAnsi="宋体" w:eastAsia="宋体"/>
          <w:b/>
          <w:szCs w:val="30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2BD0150D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hint="eastAsia" w:ascii="宋体" w:hAnsi="宋体" w:eastAsia="宋体" w:cs="Times New Roman"/>
          <w:kern w:val="2"/>
          <w:sz w:val="21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sz w:val="52"/>
          <w:szCs w:val="52"/>
        </w:rPr>
        <w:t>目录</w:t>
      </w:r>
      <w:r>
        <w:rPr>
          <w:rFonts w:hint="eastAsia" w:ascii="宋体" w:hAnsi="宋体" w:eastAsia="宋体" w:cs="Times New Roman"/>
          <w:b/>
          <w:kern w:val="2"/>
          <w:sz w:val="21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b/>
          <w:kern w:val="2"/>
          <w:sz w:val="21"/>
          <w:szCs w:val="30"/>
          <w:lang w:val="en-US" w:eastAsia="zh-CN" w:bidi="ar-SA"/>
        </w:rPr>
        <w:instrText xml:space="preserve">TOC \o "1-3" \h \u </w:instrText>
      </w:r>
      <w:r>
        <w:rPr>
          <w:rFonts w:hint="eastAsia" w:ascii="宋体" w:hAnsi="宋体" w:eastAsia="宋体" w:cs="Times New Roman"/>
          <w:b/>
          <w:kern w:val="2"/>
          <w:sz w:val="21"/>
          <w:szCs w:val="30"/>
          <w:lang w:val="en-US" w:eastAsia="zh-CN" w:bidi="ar-SA"/>
        </w:rPr>
        <w:fldChar w:fldCharType="separate"/>
      </w:r>
    </w:p>
    <w:p w14:paraId="08CEA971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_Toc24241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/>
          <w:szCs w:val="52"/>
        </w:rPr>
        <w:t>用户操作手册</w:t>
      </w:r>
      <w:r>
        <w:tab/>
      </w:r>
      <w:r>
        <w:fldChar w:fldCharType="begin"/>
      </w:r>
      <w:r>
        <w:instrText xml:space="preserve"> PAGEREF _Toc24241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288B4EF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_Toc15177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/>
          <w:szCs w:val="30"/>
        </w:rPr>
        <w:t>重庆泛语科技有限公司</w:t>
      </w:r>
      <w:r>
        <w:tab/>
      </w:r>
      <w:r>
        <w:fldChar w:fldCharType="begin"/>
      </w:r>
      <w:r>
        <w:instrText xml:space="preserve"> PAGEREF _Toc15177 \h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A020B25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_Toc9495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/>
        </w:rPr>
        <w:t xml:space="preserve">一、 </w:t>
      </w:r>
      <w:r>
        <w:rPr>
          <w:rFonts w:hint="eastAsia"/>
        </w:rPr>
        <w:t>系统登录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两种登录方式任选其一</w:t>
      </w:r>
      <w:r>
        <w:rPr>
          <w:rFonts w:hint="eastAsia"/>
          <w:lang w:eastAsia="zh-CN"/>
        </w:rPr>
        <w:t>）</w:t>
      </w:r>
      <w:r>
        <w:tab/>
      </w:r>
      <w:r>
        <w:fldChar w:fldCharType="begin"/>
      </w:r>
      <w:r>
        <w:instrText xml:space="preserve"> PAGEREF _Toc9495 \h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5498A064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_Toc23322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</w:rPr>
        <w:t xml:space="preserve">二、 </w:t>
      </w:r>
      <w:r>
        <w:rPr>
          <w:rFonts w:hint="eastAsia" w:ascii="仿宋_GB2312" w:eastAsia="仿宋_GB2312"/>
          <w:bCs w:val="0"/>
          <w:szCs w:val="16"/>
        </w:rPr>
        <w:t>个人设置</w:t>
      </w:r>
      <w:r>
        <w:tab/>
      </w:r>
      <w:r>
        <w:fldChar w:fldCharType="begin"/>
      </w:r>
      <w:r>
        <w:instrText xml:space="preserve"> PAGEREF _Toc23322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465948E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_Toc18492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 w:cs="宋体"/>
          <w:bCs/>
          <w:szCs w:val="24"/>
          <w:lang w:val="en-US" w:eastAsia="zh-CN"/>
        </w:rPr>
        <w:t>2.1、</w:t>
      </w:r>
      <w:r>
        <w:rPr>
          <w:rFonts w:hint="eastAsia" w:ascii="宋体" w:hAnsi="宋体" w:eastAsia="宋体" w:cs="宋体"/>
          <w:bCs/>
          <w:szCs w:val="24"/>
        </w:rPr>
        <w:t>个人信息</w:t>
      </w:r>
      <w:r>
        <w:tab/>
      </w:r>
      <w:r>
        <w:fldChar w:fldCharType="begin"/>
      </w:r>
      <w:r>
        <w:instrText xml:space="preserve"> PAGEREF _Toc18492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E02C574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_Toc22271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 w:ascii="宋体" w:hAnsi="宋体" w:cs="宋体"/>
          <w:bCs/>
          <w:szCs w:val="24"/>
          <w:lang w:val="en-US" w:eastAsia="zh-CN"/>
        </w:rPr>
        <w:t>2.2、安全中心</w:t>
      </w:r>
      <w:r>
        <w:tab/>
      </w:r>
      <w:r>
        <w:fldChar w:fldCharType="begin"/>
      </w:r>
      <w:r>
        <w:instrText xml:space="preserve"> PAGEREF _Toc22271 \h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70EBF3C6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_Toc23855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  <w:lang w:val="en-US" w:eastAsia="zh-CN"/>
        </w:rPr>
        <w:t xml:space="preserve">三、 </w:t>
      </w:r>
      <w:r>
        <w:rPr>
          <w:rFonts w:hint="eastAsia" w:ascii="仿宋_GB2312" w:eastAsia="仿宋_GB2312"/>
          <w:bCs w:val="0"/>
          <w:szCs w:val="16"/>
          <w:lang w:val="en-US" w:eastAsia="zh-CN"/>
        </w:rPr>
        <w:t>系统主流程及操作方法</w:t>
      </w:r>
      <w:r>
        <w:tab/>
      </w:r>
      <w:r>
        <w:fldChar w:fldCharType="begin"/>
      </w:r>
      <w:r>
        <w:instrText xml:space="preserve"> PAGEREF _Toc23855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711D290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_Toc21611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1.选题管理</w:t>
      </w:r>
      <w:r>
        <w:tab/>
      </w:r>
      <w:r>
        <w:fldChar w:fldCharType="begin"/>
      </w:r>
      <w:r>
        <w:instrText xml:space="preserve"> PAGEREF _Toc21611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FF48357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_Toc11712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1.1课题</w:t>
      </w:r>
      <w:r>
        <w:tab/>
      </w:r>
      <w:r>
        <w:fldChar w:fldCharType="begin"/>
      </w:r>
      <w:r>
        <w:instrText xml:space="preserve"> PAGEREF _Toc11712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974379F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_Toc3920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1.1.1申报课题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需注意我校有导入选题和在线申报课题两种方式，两种方式选其一，如由学院导入选题则不用学生再申报课题，建议提前和学院确认采取哪种方式</w:t>
      </w:r>
      <w:r>
        <w:rPr>
          <w:rFonts w:hint="eastAsia"/>
          <w:lang w:eastAsia="zh-CN"/>
        </w:rPr>
        <w:t>）</w:t>
      </w:r>
      <w:r>
        <w:tab/>
      </w:r>
      <w:r>
        <w:fldChar w:fldCharType="begin"/>
      </w:r>
      <w:r>
        <w:instrText xml:space="preserve"> PAGEREF _Toc3920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5C8812E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_Toc25060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1.2课题信息变更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仅针对选题完成后需修改课题才操作此流程</w:t>
      </w:r>
      <w:r>
        <w:rPr>
          <w:rFonts w:hint="eastAsia"/>
          <w:lang w:eastAsia="zh-CN"/>
        </w:rPr>
        <w:t>）</w:t>
      </w:r>
      <w:r>
        <w:tab/>
      </w:r>
      <w:r>
        <w:fldChar w:fldCharType="begin"/>
      </w:r>
      <w:r>
        <w:instrText xml:space="preserve"> PAGEREF _Toc25060 \h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736BEB1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_Toc1169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1.2.1申请课题信息变更</w:t>
      </w:r>
      <w:r>
        <w:tab/>
      </w:r>
      <w:r>
        <w:fldChar w:fldCharType="begin"/>
      </w:r>
      <w:r>
        <w:instrText xml:space="preserve"> PAGEREF _Toc1169 \h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388F0C15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_Toc3262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2.过程管理</w:t>
      </w:r>
      <w:r>
        <w:tab/>
      </w:r>
      <w:r>
        <w:fldChar w:fldCharType="begin"/>
      </w:r>
      <w:r>
        <w:instrText xml:space="preserve"> PAGEREF _Toc3262 \h </w:instrText>
      </w:r>
      <w:r>
        <w:fldChar w:fldCharType="separate"/>
      </w:r>
      <w:r>
        <w:t>11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1DAA600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_Toc9546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2.1开题报告</w:t>
      </w:r>
      <w:r>
        <w:tab/>
      </w:r>
      <w:r>
        <w:fldChar w:fldCharType="begin"/>
      </w:r>
      <w:r>
        <w:instrText xml:space="preserve"> PAGEREF _Toc9546 \h </w:instrText>
      </w:r>
      <w:r>
        <w:fldChar w:fldCharType="separate"/>
      </w:r>
      <w:r>
        <w:t>11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F71B64D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_Toc865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2.1.1编辑开题报告</w:t>
      </w:r>
      <w:r>
        <w:tab/>
      </w:r>
      <w:r>
        <w:fldChar w:fldCharType="begin"/>
      </w:r>
      <w:r>
        <w:instrText xml:space="preserve"> PAGEREF _Toc865 \h </w:instrText>
      </w:r>
      <w:r>
        <w:fldChar w:fldCharType="separate"/>
      </w:r>
      <w:r>
        <w:t>11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FBEF4B7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_Toc285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2.1.</w:t>
      </w:r>
      <w:r>
        <w:rPr>
          <w:rFonts w:hint="eastAsia"/>
          <w:lang w:val="en-US" w:eastAsia="zh-CN"/>
        </w:rPr>
        <w:t>2导出</w:t>
      </w:r>
      <w:r>
        <w:t>开题报告</w:t>
      </w:r>
      <w:r>
        <w:tab/>
      </w:r>
      <w:r>
        <w:fldChar w:fldCharType="begin"/>
      </w:r>
      <w:r>
        <w:instrText xml:space="preserve"> PAGEREF _Toc285 \h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8FD32F3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_Toc21073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2.2中期报告</w:t>
      </w:r>
      <w:r>
        <w:tab/>
      </w:r>
      <w:r>
        <w:fldChar w:fldCharType="begin"/>
      </w:r>
      <w:r>
        <w:instrText xml:space="preserve"> PAGEREF _Toc21073 \h </w:instrText>
      </w:r>
      <w:r>
        <w:fldChar w:fldCharType="separate"/>
      </w:r>
      <w:r>
        <w:t>13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CCAD431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_Toc2087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2.2.1编辑中期报告</w:t>
      </w:r>
      <w:r>
        <w:tab/>
      </w:r>
      <w:r>
        <w:fldChar w:fldCharType="begin"/>
      </w:r>
      <w:r>
        <w:instrText xml:space="preserve"> PAGEREF _Toc2087 \h </w:instrText>
      </w:r>
      <w:r>
        <w:fldChar w:fldCharType="separate"/>
      </w:r>
      <w:r>
        <w:t>13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8E0BCB9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_Toc4164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2.3</w:t>
      </w:r>
      <w:r>
        <w:rPr>
          <w:rFonts w:hint="eastAsia"/>
          <w:lang w:eastAsia="zh-CN"/>
        </w:rPr>
        <w:t>初稿</w:t>
      </w:r>
      <w:r>
        <w:tab/>
      </w:r>
      <w:r>
        <w:fldChar w:fldCharType="begin"/>
      </w:r>
      <w:r>
        <w:instrText xml:space="preserve"> PAGEREF _Toc4164 \h </w:instrText>
      </w:r>
      <w:r>
        <w:fldChar w:fldCharType="separate"/>
      </w:r>
      <w:r>
        <w:t>14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F34DCE7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_Toc18754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2.3.1编辑</w:t>
      </w:r>
      <w:r>
        <w:rPr>
          <w:rFonts w:hint="eastAsia"/>
          <w:lang w:eastAsia="zh-CN"/>
        </w:rPr>
        <w:t>初稿</w:t>
      </w:r>
      <w:r>
        <w:tab/>
      </w:r>
      <w:r>
        <w:fldChar w:fldCharType="begin"/>
      </w:r>
      <w:r>
        <w:instrText xml:space="preserve"> PAGEREF _Toc18754 \h </w:instrText>
      </w:r>
      <w:r>
        <w:fldChar w:fldCharType="separate"/>
      </w:r>
      <w:r>
        <w:t>14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6F23DF6F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_Toc32694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2.4</w:t>
      </w:r>
      <w:r>
        <w:rPr>
          <w:rFonts w:hint="eastAsia"/>
          <w:lang w:eastAsia="zh-CN"/>
        </w:rPr>
        <w:t>查重稿</w:t>
      </w:r>
      <w:r>
        <w:tab/>
      </w:r>
      <w:r>
        <w:fldChar w:fldCharType="begin"/>
      </w:r>
      <w:r>
        <w:instrText xml:space="preserve"> PAGEREF _Toc32694 \h </w:instrText>
      </w:r>
      <w:r>
        <w:fldChar w:fldCharType="separate"/>
      </w:r>
      <w:r>
        <w:t>16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63F111F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_Toc30660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2.4.1编辑</w:t>
      </w:r>
      <w:r>
        <w:rPr>
          <w:rFonts w:hint="eastAsia"/>
          <w:lang w:eastAsia="zh-CN"/>
        </w:rPr>
        <w:t>查重稿</w:t>
      </w:r>
      <w:r>
        <w:tab/>
      </w:r>
      <w:r>
        <w:fldChar w:fldCharType="begin"/>
      </w:r>
      <w:r>
        <w:instrText xml:space="preserve"> PAGEREF _Toc30660 \h </w:instrText>
      </w:r>
      <w:r>
        <w:fldChar w:fldCharType="separate"/>
      </w:r>
      <w:r>
        <w:t>16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68798A3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_Toc15944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</w:t>
      </w:r>
      <w:r>
        <w:rPr>
          <w:rFonts w:hint="eastAsia"/>
          <w:lang w:val="en-US" w:eastAsia="zh-CN"/>
        </w:rPr>
        <w:t>5考核意见表</w:t>
      </w:r>
      <w:r>
        <w:tab/>
      </w:r>
      <w:r>
        <w:fldChar w:fldCharType="begin"/>
      </w:r>
      <w:r>
        <w:instrText xml:space="preserve"> PAGEREF _Toc15944 \h </w:instrText>
      </w:r>
      <w:r>
        <w:fldChar w:fldCharType="separate"/>
      </w:r>
      <w:r>
        <w:t>17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307B193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_Toc7139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2.</w:t>
      </w:r>
      <w:r>
        <w:rPr>
          <w:rFonts w:hint="eastAsia"/>
          <w:lang w:val="en-US" w:eastAsia="zh-CN"/>
        </w:rPr>
        <w:t>5</w:t>
      </w:r>
      <w:r>
        <w:t>.1</w:t>
      </w:r>
      <w:r>
        <w:rPr>
          <w:rFonts w:hint="eastAsia"/>
          <w:lang w:val="en-US" w:eastAsia="zh-CN"/>
        </w:rPr>
        <w:t>提交考核意见表</w:t>
      </w:r>
      <w:r>
        <w:tab/>
      </w:r>
      <w:r>
        <w:fldChar w:fldCharType="begin"/>
      </w:r>
      <w:r>
        <w:instrText xml:space="preserve"> PAGEREF _Toc7139 \h </w:instrText>
      </w:r>
      <w:r>
        <w:fldChar w:fldCharType="separate"/>
      </w:r>
      <w:r>
        <w:t>17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1288E7B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_Toc30731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3.</w:t>
      </w:r>
      <w:r>
        <w:rPr>
          <w:rFonts w:hint="eastAsia"/>
          <w:lang w:eastAsia="zh-CN"/>
        </w:rPr>
        <w:t>归档稿</w:t>
      </w:r>
      <w:r>
        <w:tab/>
      </w:r>
      <w:r>
        <w:fldChar w:fldCharType="begin"/>
      </w:r>
      <w:r>
        <w:instrText xml:space="preserve"> PAGEREF _Toc30731 \h </w:instrText>
      </w:r>
      <w:r>
        <w:fldChar w:fldCharType="separate"/>
      </w:r>
      <w:r>
        <w:t>18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4A2A9557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_Toc11093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3.1</w:t>
      </w:r>
      <w:r>
        <w:rPr>
          <w:rFonts w:hint="eastAsia"/>
          <w:lang w:eastAsia="zh-CN"/>
        </w:rPr>
        <w:t>归档稿</w:t>
      </w:r>
      <w:r>
        <w:tab/>
      </w:r>
      <w:r>
        <w:fldChar w:fldCharType="begin"/>
      </w:r>
      <w:r>
        <w:instrText xml:space="preserve"> PAGEREF _Toc11093 \h </w:instrText>
      </w:r>
      <w:r>
        <w:fldChar w:fldCharType="separate"/>
      </w:r>
      <w:r>
        <w:t>18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B7670C9">
      <w:pPr>
        <w:pStyle w:val="6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_Toc1569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t>3.1.1编辑</w:t>
      </w:r>
      <w:r>
        <w:rPr>
          <w:rFonts w:hint="eastAsia"/>
          <w:lang w:eastAsia="zh-CN"/>
        </w:rPr>
        <w:t>归档稿</w:t>
      </w:r>
      <w:r>
        <w:tab/>
      </w:r>
      <w:r>
        <w:fldChar w:fldCharType="begin"/>
      </w:r>
      <w:r>
        <w:instrText xml:space="preserve"> PAGEREF _Toc1569 \h </w:instrText>
      </w:r>
      <w:r>
        <w:fldChar w:fldCharType="separate"/>
      </w:r>
      <w:r>
        <w:t>18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DC254DA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_Toc29680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  <w:lang w:val="en-US" w:eastAsia="zh-CN"/>
        </w:rPr>
        <w:t xml:space="preserve">四、 </w:t>
      </w:r>
      <w:r>
        <w:rPr>
          <w:rFonts w:hint="eastAsia" w:ascii="仿宋_GB2312" w:eastAsia="仿宋_GB2312"/>
          <w:bCs w:val="0"/>
          <w:szCs w:val="16"/>
          <w:lang w:val="en-US" w:eastAsia="zh-CN"/>
        </w:rPr>
        <w:t>信息管理</w:t>
      </w:r>
      <w:r>
        <w:tab/>
      </w:r>
      <w:r>
        <w:fldChar w:fldCharType="begin"/>
      </w:r>
      <w:r>
        <w:instrText xml:space="preserve"> PAGEREF _Toc29680 \h </w:instrText>
      </w:r>
      <w:r>
        <w:fldChar w:fldCharType="separate"/>
      </w:r>
      <w:r>
        <w:t>20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3A926D0A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_Toc23383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/>
          <w:szCs w:val="24"/>
        </w:rPr>
        <w:t>1、站内信</w:t>
      </w:r>
      <w:r>
        <w:tab/>
      </w:r>
      <w:r>
        <w:fldChar w:fldCharType="begin"/>
      </w:r>
      <w:r>
        <w:instrText xml:space="preserve"> PAGEREF _Toc23383 \h </w:instrText>
      </w:r>
      <w:r>
        <w:fldChar w:fldCharType="separate"/>
      </w:r>
      <w:r>
        <w:t>20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93F5437">
      <w:pPr>
        <w:pStyle w:val="10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_Toc20568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eastAsia"/>
          <w:szCs w:val="28"/>
        </w:rPr>
        <w:t>2、公告管理</w:t>
      </w:r>
      <w:r>
        <w:tab/>
      </w:r>
      <w:r>
        <w:fldChar w:fldCharType="begin"/>
      </w:r>
      <w:r>
        <w:instrText xml:space="preserve"> PAGEREF _Toc20568 \h </w:instrText>
      </w:r>
      <w:r>
        <w:fldChar w:fldCharType="separate"/>
      </w:r>
      <w:r>
        <w:t>20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12384E22">
      <w:pPr>
        <w:pStyle w:val="9"/>
        <w:tabs>
          <w:tab w:val="right" w:leader="dot" w:pos="8306"/>
        </w:tabs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instrText xml:space="preserve"> HYPERLINK \l _Toc30376 </w:instrText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separate"/>
      </w:r>
      <w:r>
        <w:rPr>
          <w:rFonts w:hint="default" w:ascii="仿宋_GB2312" w:eastAsia="仿宋_GB2312"/>
          <w:bCs w:val="0"/>
          <w:szCs w:val="16"/>
          <w:lang w:val="en-US" w:eastAsia="zh-CN"/>
        </w:rPr>
        <w:t xml:space="preserve">五、 </w:t>
      </w:r>
      <w:r>
        <w:rPr>
          <w:rFonts w:hint="eastAsia" w:ascii="仿宋_GB2312" w:eastAsia="仿宋_GB2312"/>
          <w:bCs w:val="0"/>
          <w:szCs w:val="16"/>
          <w:lang w:val="en-US" w:eastAsia="zh-CN"/>
        </w:rPr>
        <w:t>常见问题</w:t>
      </w:r>
      <w:r>
        <w:tab/>
      </w:r>
      <w:r>
        <w:fldChar w:fldCharType="begin"/>
      </w:r>
      <w:r>
        <w:instrText xml:space="preserve"> PAGEREF _Toc30376 \h </w:instrText>
      </w:r>
      <w:r>
        <w:fldChar w:fldCharType="separate"/>
      </w:r>
      <w:r>
        <w:t>20</w:t>
      </w:r>
      <w:r>
        <w:fldChar w:fldCharType="end"/>
      </w: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</w:p>
    <w:p w14:paraId="00595FBE">
      <w:pPr>
        <w:spacing w:before="0" w:beforeLines="0" w:after="0" w:afterLines="0" w:line="240" w:lineRule="auto"/>
        <w:ind w:left="0" w:leftChars="0" w:right="0" w:rightChars="0" w:firstLine="2100" w:firstLineChars="1000"/>
        <w:jc w:val="left"/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Cs w:val="30"/>
          <w:lang w:val="en-US" w:eastAsia="zh-CN" w:bidi="ar-SA"/>
        </w:rPr>
        <w:fldChar w:fldCharType="end"/>
      </w:r>
      <w:r>
        <w:br w:type="page"/>
      </w:r>
    </w:p>
    <w:p w14:paraId="72E187E4">
      <w:pPr>
        <w:pStyle w:val="2"/>
        <w:numPr>
          <w:ilvl w:val="0"/>
          <w:numId w:val="1"/>
        </w:numPr>
        <w:spacing w:before="0" w:after="0" w:line="360" w:lineRule="auto"/>
        <w:ind w:left="900" w:leftChars="0" w:firstLineChars="0"/>
      </w:pPr>
      <w:bookmarkStart w:id="13" w:name="_Toc1819545183"/>
      <w:bookmarkStart w:id="14" w:name="_Toc14559"/>
      <w:bookmarkStart w:id="15" w:name="_Toc9495"/>
      <w:bookmarkStart w:id="16" w:name="_Toc664083933"/>
      <w:r>
        <w:rPr>
          <w:rFonts w:hint="eastAsia"/>
        </w:rPr>
        <w:t>系统登录</w:t>
      </w:r>
      <w:bookmarkEnd w:id="13"/>
      <w:bookmarkEnd w:id="14"/>
      <w:r>
        <w:rPr>
          <w:rFonts w:hint="eastAsia"/>
          <w:lang w:eastAsia="zh-CN"/>
        </w:rPr>
        <w:t>（</w:t>
      </w:r>
      <w:r>
        <w:rPr>
          <w:rFonts w:hint="eastAsia"/>
          <w:color w:val="FF0000"/>
          <w:lang w:val="en-US" w:eastAsia="zh-CN"/>
        </w:rPr>
        <w:t>两种登录方式任选其一</w:t>
      </w:r>
      <w:r>
        <w:rPr>
          <w:rFonts w:hint="eastAsia"/>
          <w:lang w:eastAsia="zh-CN"/>
        </w:rPr>
        <w:t>）</w:t>
      </w:r>
      <w:bookmarkEnd w:id="15"/>
      <w:bookmarkEnd w:id="16"/>
    </w:p>
    <w:p w14:paraId="162B4787">
      <w:pPr>
        <w:rPr>
          <w:rFonts w:hint="eastAsia" w:ascii="宋体" w:hAnsi="宋体" w:cs="宋体"/>
          <w:color w:val="000000"/>
        </w:rPr>
      </w:pP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登录方式1：门户网站登录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Cambria" w:hAnsi="Cambria" w:cs="Times New Roman"/>
          <w:b/>
          <w:bCs/>
          <w:color w:val="FF0000"/>
          <w:kern w:val="2"/>
          <w:sz w:val="32"/>
          <w:szCs w:val="32"/>
          <w:lang w:val="en-US" w:eastAsia="zh-CN" w:bidi="ar-SA"/>
        </w:rPr>
        <w:t>推荐登录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宋体" w:hAnsi="宋体" w:cs="宋体"/>
        </w:rPr>
        <w:t>打开</w:t>
      </w:r>
      <w:r>
        <w:rPr>
          <w:rFonts w:hint="eastAsia" w:ascii="宋体" w:hAnsi="宋体" w:cs="宋体"/>
          <w:lang w:val="en-US" w:eastAsia="zh-CN"/>
        </w:rPr>
        <w:t>公共数据库地址</w:t>
      </w:r>
      <w:r>
        <w:rPr>
          <w:rFonts w:hint="eastAsia" w:ascii="宋体" w:hAnsi="宋体" w:cs="宋体"/>
        </w:rPr>
        <w:t>https://portal2023.ecnu.edu.cn/portal/home，输入账号和密码</w:t>
      </w:r>
      <w:r>
        <w:rPr>
          <w:rFonts w:hint="eastAsia" w:ascii="宋体" w:hAnsi="宋体" w:cs="宋体"/>
          <w:lang w:eastAsia="zh-CN"/>
        </w:rPr>
        <w:t>，</w:t>
      </w:r>
      <w:r>
        <w:rPr>
          <w:rFonts w:hint="eastAsia" w:ascii="宋体" w:hAnsi="宋体" w:cs="宋体"/>
          <w:color w:val="000000"/>
        </w:rPr>
        <w:t>点击登录即可。</w:t>
      </w:r>
    </w:p>
    <w:p w14:paraId="35477711">
      <w:pPr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 w:ascii="宋体" w:hAnsi="宋体" w:eastAsia="宋体" w:cs="宋体"/>
          <w:color w:val="000000"/>
          <w:lang w:eastAsia="zh-CN"/>
        </w:rPr>
        <w:drawing>
          <wp:inline distT="0" distB="0" distL="114300" distR="114300">
            <wp:extent cx="5268595" cy="2678430"/>
            <wp:effectExtent l="0" t="0" r="14605" b="13970"/>
            <wp:docPr id="10" name="图片 10" descr="wecom-temp-469366-12f25dd1475b8cf252ff1d86fedf38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wecom-temp-469366-12f25dd1475b8cf252ff1d86fedf38a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81774">
      <w:pPr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进入公共数据库后，点击“教育教学管理平台”，再点击左侧最下方毕业论文就可以直接跳转进毕设系统内进行操作</w:t>
      </w:r>
      <w:bookmarkStart w:id="80" w:name="_GoBack"/>
      <w:bookmarkEnd w:id="80"/>
    </w:p>
    <w:p w14:paraId="27DBB5AD"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5263515" cy="1939290"/>
            <wp:effectExtent l="0" t="0" r="13335" b="3810"/>
            <wp:docPr id="21" name="图片 21" descr="b126d7e4-7546-4736-9cde-ad71e1332a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b126d7e4-7546-4736-9cde-ad71e1332ad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21D5B">
      <w:pPr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drawing>
          <wp:inline distT="0" distB="0" distL="114300" distR="114300">
            <wp:extent cx="3238500" cy="6038850"/>
            <wp:effectExtent l="0" t="0" r="12700" b="6350"/>
            <wp:docPr id="12" name="图片 12" descr="wecom-temp-40820-cbac17f4240340056b8fdfcfc208b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wecom-temp-40820-cbac17f4240340056b8fdfcfc208b5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BF7F2">
      <w:pPr>
        <w:rPr>
          <w:rFonts w:hint="eastAsia" w:ascii="宋体" w:hAnsi="宋体" w:cs="宋体"/>
        </w:rPr>
      </w:pP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登录方式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Cambria" w:hAnsi="Cambria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毕设通用地址</w:t>
      </w:r>
      <w:r>
        <w:rPr>
          <w:rFonts w:hint="eastAsia" w:ascii="Cambria" w:hAnsi="Cambria" w:eastAsia="宋体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登录</w:t>
      </w:r>
    </w:p>
    <w:p w14:paraId="7B6F93C9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303030"/>
          <w:sz w:val="24"/>
          <w:szCs w:val="28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打开网址https://vgms.fanyu.com/，选择学校“华东师范大学”，输入账号和密码（账号为学号/工号，初始密码：</w:t>
      </w:r>
      <w:r>
        <w:rPr>
          <w:rFonts w:hint="eastAsia" w:ascii="宋体" w:hAnsi="宋体" w:eastAsia="宋体" w:cs="宋体"/>
          <w:color w:val="303030"/>
          <w:sz w:val="24"/>
          <w:szCs w:val="28"/>
          <w:lang w:val="en-US" w:eastAsia="zh-CN"/>
        </w:rPr>
        <w:t>Hd@sf10269</w:t>
      </w:r>
      <w:r>
        <w:rPr>
          <w:rFonts w:hint="eastAsia" w:ascii="宋体" w:hAnsi="宋体" w:eastAsia="宋体" w:cs="宋体"/>
          <w:color w:val="303030"/>
          <w:sz w:val="24"/>
          <w:szCs w:val="28"/>
        </w:rPr>
        <w:t>），点击登录即可。</w:t>
      </w:r>
    </w:p>
    <w:p w14:paraId="4A89D974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0500" cy="2176145"/>
            <wp:effectExtent l="0" t="0" r="6350" b="14605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76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E1FEFD">
      <w:pPr>
        <w:jc w:val="left"/>
        <w:rPr>
          <w:rFonts w:hint="eastAsia" w:ascii="宋体" w:hAnsi="宋体" w:cs="宋体"/>
          <w:color w:val="FF0000"/>
        </w:rPr>
      </w:pPr>
      <w:r>
        <w:rPr>
          <w:rFonts w:hint="eastAsia" w:ascii="宋体" w:hAnsi="宋体" w:cs="宋体"/>
          <w:color w:val="FF0000"/>
        </w:rPr>
        <w:t>注意：</w:t>
      </w:r>
      <w:r>
        <w:rPr>
          <w:rFonts w:hint="eastAsia" w:ascii="宋体" w:hAnsi="宋体" w:cs="宋体"/>
          <w:color w:val="FF0000"/>
          <w:lang w:eastAsia="zh-CN"/>
        </w:rPr>
        <w:t>如果</w:t>
      </w:r>
      <w:r>
        <w:rPr>
          <w:rFonts w:hint="eastAsia" w:ascii="宋体" w:hAnsi="宋体" w:cs="宋体"/>
          <w:color w:val="FF0000"/>
        </w:rPr>
        <w:t>学生</w:t>
      </w:r>
      <w:r>
        <w:rPr>
          <w:rFonts w:hint="eastAsia" w:ascii="宋体" w:hAnsi="宋体" w:cs="宋体"/>
          <w:color w:val="FF0000"/>
          <w:lang w:eastAsia="zh-CN"/>
        </w:rPr>
        <w:t>角色</w:t>
      </w:r>
      <w:r>
        <w:rPr>
          <w:rFonts w:hint="eastAsia" w:ascii="宋体" w:hAnsi="宋体" w:cs="宋体"/>
          <w:color w:val="FF0000"/>
        </w:rPr>
        <w:t>是双学位，还需要选择一次组织</w:t>
      </w:r>
      <w:r>
        <w:rPr>
          <w:rFonts w:hint="eastAsia" w:ascii="宋体" w:hAnsi="宋体" w:cs="宋体"/>
          <w:color w:val="FF0000"/>
          <w:lang w:eastAsia="zh-CN"/>
        </w:rPr>
        <w:t>；如果教师是多角色，还需要选择一次角色；</w:t>
      </w:r>
    </w:p>
    <w:p w14:paraId="0D228470">
      <w:pPr>
        <w:jc w:val="left"/>
        <w:rPr>
          <w:rFonts w:hint="eastAsia"/>
        </w:rPr>
      </w:pPr>
      <w:r>
        <w:drawing>
          <wp:inline distT="0" distB="0" distL="114300" distR="114300">
            <wp:extent cx="5268595" cy="2616835"/>
            <wp:effectExtent l="0" t="0" r="14605" b="24765"/>
            <wp:docPr id="3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1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BF90F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</w:rPr>
      </w:pPr>
      <w:bookmarkStart w:id="17" w:name="_Toc21120"/>
      <w:bookmarkStart w:id="18" w:name="_Toc23876"/>
      <w:bookmarkStart w:id="19" w:name="_Toc12528"/>
      <w:bookmarkStart w:id="20" w:name="_Toc21536"/>
      <w:bookmarkStart w:id="21" w:name="_Toc23322"/>
      <w:r>
        <w:rPr>
          <w:rFonts w:hint="eastAsia" w:ascii="仿宋_GB2312" w:eastAsia="仿宋_GB2312"/>
          <w:b/>
          <w:bCs w:val="0"/>
          <w:sz w:val="28"/>
          <w:szCs w:val="16"/>
        </w:rPr>
        <w:t>个人</w:t>
      </w:r>
      <w:bookmarkEnd w:id="17"/>
      <w:r>
        <w:rPr>
          <w:rFonts w:hint="eastAsia" w:ascii="仿宋_GB2312" w:eastAsia="仿宋_GB2312"/>
          <w:b/>
          <w:bCs w:val="0"/>
          <w:sz w:val="28"/>
          <w:szCs w:val="16"/>
        </w:rPr>
        <w:t>设置</w:t>
      </w:r>
      <w:bookmarkEnd w:id="18"/>
      <w:bookmarkEnd w:id="19"/>
      <w:bookmarkEnd w:id="20"/>
      <w:bookmarkEnd w:id="21"/>
    </w:p>
    <w:p w14:paraId="6EA763DB">
      <w:pPr>
        <w:pStyle w:val="3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22" w:name="_Toc18492"/>
      <w:bookmarkStart w:id="23" w:name="_Toc21086"/>
      <w:bookmarkStart w:id="24" w:name="_Toc3167"/>
      <w:bookmarkStart w:id="25" w:name="_Toc775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2.1、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个人信息</w:t>
      </w:r>
      <w:bookmarkEnd w:id="22"/>
      <w:bookmarkEnd w:id="23"/>
      <w:bookmarkEnd w:id="24"/>
      <w:bookmarkEnd w:id="25"/>
    </w:p>
    <w:p w14:paraId="6294B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303030"/>
          <w:sz w:val="24"/>
          <w:szCs w:val="28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点击左侧菜单进入“个人设置—个人信息”，这里可以填写自己的个人信息、电子签名等。</w:t>
      </w:r>
    </w:p>
    <w:p w14:paraId="79FEDB66">
      <w:r>
        <w:drawing>
          <wp:inline distT="0" distB="0" distL="114300" distR="114300">
            <wp:extent cx="5272405" cy="2214880"/>
            <wp:effectExtent l="0" t="0" r="6350" b="8890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1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4E08F">
      <w:pPr>
        <w:pStyle w:val="3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26" w:name="_Toc32531"/>
      <w:bookmarkStart w:id="27" w:name="_Toc27356"/>
      <w:bookmarkStart w:id="28" w:name="_Toc22271"/>
      <w:bookmarkStart w:id="29" w:name="_Toc20940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2.2、安全中心</w:t>
      </w:r>
      <w:bookmarkEnd w:id="26"/>
      <w:bookmarkEnd w:id="27"/>
      <w:bookmarkEnd w:id="28"/>
      <w:bookmarkEnd w:id="29"/>
    </w:p>
    <w:p w14:paraId="63854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303030"/>
          <w:sz w:val="24"/>
          <w:szCs w:val="28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点击左侧菜单进入“个人设置——安全中心”。</w:t>
      </w:r>
    </w:p>
    <w:p w14:paraId="41D84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eastAsia="宋体" w:cs="宋体"/>
          <w:color w:val="303030"/>
          <w:sz w:val="24"/>
          <w:szCs w:val="28"/>
        </w:rPr>
        <w:t>可根据自己需求在“个人设置-安全中心”中进行绑定安全邮箱、绑定手机号、绑定微信、密码修改等操作。绑定后，可用于找回密码或系统登录</w:t>
      </w:r>
      <w:r>
        <w:rPr>
          <w:rFonts w:hint="eastAsia" w:ascii="宋体" w:hAnsi="宋体" w:cs="宋体"/>
        </w:rPr>
        <w:t>。</w:t>
      </w:r>
    </w:p>
    <w:p w14:paraId="0C7776B2"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4785" cy="2598420"/>
            <wp:effectExtent l="0" t="0" r="18415" b="17780"/>
            <wp:docPr id="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EAED2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bookmarkStart w:id="30" w:name="_Toc6721"/>
      <w:bookmarkStart w:id="31" w:name="_Toc23855"/>
      <w:bookmarkStart w:id="32" w:name="_Toc25080"/>
      <w:bookmarkStart w:id="33" w:name="_Toc24407"/>
      <w:bookmarkStart w:id="34" w:name="_Toc27008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>系统主流程及操作方法</w:t>
      </w:r>
      <w:bookmarkEnd w:id="30"/>
      <w:bookmarkEnd w:id="31"/>
      <w:bookmarkEnd w:id="32"/>
      <w:bookmarkEnd w:id="33"/>
      <w:bookmarkEnd w:id="34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 xml:space="preserve"> </w:t>
      </w:r>
    </w:p>
    <w:p w14:paraId="4DD50F31">
      <w:pPr>
        <w:pStyle w:val="2"/>
        <w:jc w:val="left"/>
      </w:pPr>
      <w:bookmarkStart w:id="35" w:name="_Toc21611"/>
      <w:r>
        <w:rPr>
          <w:u w:color="auto"/>
        </w:rPr>
        <w:t>1.选题管理</w:t>
      </w:r>
      <w:bookmarkEnd w:id="35"/>
    </w:p>
    <w:p w14:paraId="5685E8C1">
      <w:pPr>
        <w:pStyle w:val="3"/>
        <w:jc w:val="left"/>
      </w:pPr>
      <w:bookmarkStart w:id="36" w:name="_Toc11712"/>
      <w:r>
        <w:rPr>
          <w:u w:color="auto"/>
        </w:rPr>
        <w:t>1.1课题</w:t>
      </w:r>
      <w:bookmarkEnd w:id="36"/>
    </w:p>
    <w:p w14:paraId="376ABC6F">
      <w:pPr>
        <w:pStyle w:val="4"/>
        <w:jc w:val="left"/>
        <w:rPr>
          <w:rFonts w:hint="eastAsia" w:eastAsia="宋体"/>
          <w:lang w:eastAsia="zh-CN"/>
        </w:rPr>
      </w:pPr>
      <w:bookmarkStart w:id="37" w:name="_Toc3920"/>
      <w:r>
        <w:rPr>
          <w:u w:color="auto"/>
        </w:rPr>
        <w:t>1.1.1申报课题</w:t>
      </w:r>
      <w:r>
        <w:rPr>
          <w:rFonts w:hint="eastAsia"/>
          <w:u w:color="auto"/>
          <w:lang w:eastAsia="zh-CN"/>
        </w:rPr>
        <w:t>（</w:t>
      </w:r>
      <w:r>
        <w:rPr>
          <w:rFonts w:hint="eastAsia"/>
          <w:color w:val="FF0000"/>
          <w:u w:color="auto"/>
          <w:lang w:val="en-US" w:eastAsia="zh-CN"/>
        </w:rPr>
        <w:t>需注意我校有导入选题和在线申报课题两种方式，两种方式选其一，如由学院导入选题则不用学生再申报课题，建议提前和学院确认采取哪种方式</w:t>
      </w:r>
      <w:r>
        <w:rPr>
          <w:rFonts w:hint="eastAsia"/>
          <w:u w:color="auto"/>
          <w:lang w:eastAsia="zh-CN"/>
        </w:rPr>
        <w:t>）</w:t>
      </w:r>
      <w:bookmarkEnd w:id="37"/>
    </w:p>
    <w:p w14:paraId="70D274E2">
      <w:pPr>
        <w:keepLines/>
        <w:ind w:firstLine="420" w:firstLineChars="200"/>
        <w:jc w:val="left"/>
        <w:rPr>
          <w:rFonts w:hint="default" w:eastAsia="宋体"/>
          <w:lang w:val="en-US" w:eastAsia="zh-CN"/>
        </w:rPr>
      </w:pPr>
      <w:r>
        <w:rPr>
          <w:rFonts w:ascii="宋体" w:hAnsi="宋体" w:eastAsia="宋体" w:cs="宋体"/>
          <w:sz w:val="21"/>
          <w:u w:color="auto"/>
        </w:rPr>
        <w:t>第1步：用户点击左边菜单栏“选题管理”——选择“课题”，进入“申报课题”页面，在此点击“新增”即可进入申报课题详情页面——在弹窗中根据提示填写申报课题详细内容</w:t>
      </w:r>
      <w:r>
        <w:rPr>
          <w:rFonts w:hint="eastAsia" w:ascii="宋体" w:hAnsi="宋体" w:cs="宋体"/>
          <w:sz w:val="21"/>
          <w:u w:color="auto"/>
          <w:lang w:eastAsia="zh-CN"/>
        </w:rPr>
        <w:t>，</w:t>
      </w: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注意选择指导教师时建议用工号搜索指定导师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。</w:t>
      </w:r>
    </w:p>
    <w:p w14:paraId="6D3B96AC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第2步：填写完成后点击“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确定</w:t>
      </w:r>
      <w:r>
        <w:rPr>
          <w:rFonts w:ascii="宋体" w:hAnsi="宋体" w:eastAsia="宋体" w:cs="宋体"/>
          <w:sz w:val="21"/>
          <w:u w:color="auto"/>
        </w:rPr>
        <w:t>”。提交即进入审核环节；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点击“</w:t>
      </w:r>
      <w:r>
        <w:rPr>
          <w:rFonts w:ascii="宋体" w:hAnsi="宋体" w:eastAsia="宋体" w:cs="宋体"/>
          <w:sz w:val="21"/>
          <w:u w:color="auto"/>
        </w:rPr>
        <w:t>暂存</w:t>
      </w:r>
      <w:r>
        <w:rPr>
          <w:rFonts w:hint="eastAsia" w:ascii="宋体" w:hAnsi="宋体" w:cs="宋体"/>
          <w:sz w:val="21"/>
          <w:u w:color="auto"/>
          <w:lang w:eastAsia="zh-CN"/>
        </w:rPr>
        <w:t>”</w:t>
      </w:r>
      <w:r>
        <w:rPr>
          <w:rFonts w:ascii="宋体" w:hAnsi="宋体" w:eastAsia="宋体" w:cs="宋体"/>
          <w:sz w:val="21"/>
          <w:u w:color="auto"/>
        </w:rPr>
        <w:t>并未进入下一节点，可以再次编辑修改。</w:t>
      </w:r>
    </w:p>
    <w:p w14:paraId="3EB514A1">
      <w:pPr>
        <w:jc w:val="center"/>
      </w:pPr>
      <w:r>
        <w:rPr>
          <w:u w:color="auto"/>
        </w:rPr>
        <w:drawing>
          <wp:inline distT="0" distB="0" distL="0" distR="0">
            <wp:extent cx="5267325" cy="647700"/>
            <wp:effectExtent l="0" t="0" r="9525" b="0"/>
            <wp:docPr id="1" name="Drawing 1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1" descr="Generat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15EB9">
      <w:pPr>
        <w:jc w:val="center"/>
      </w:pPr>
      <w:r>
        <w:rPr>
          <w:u w:color="auto"/>
        </w:rPr>
        <w:drawing>
          <wp:inline distT="0" distB="0" distL="0" distR="0">
            <wp:extent cx="5267325" cy="3248025"/>
            <wp:effectExtent l="0" t="0" r="9525" b="9525"/>
            <wp:docPr id="125819642" name="Drawing 2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19642" name="Drawing 2" descr="Generated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E79B5">
      <w:pPr>
        <w:jc w:val="center"/>
      </w:pPr>
      <w:r>
        <w:drawing>
          <wp:inline distT="0" distB="0" distL="114300" distR="114300">
            <wp:extent cx="5273675" cy="2661285"/>
            <wp:effectExtent l="0" t="0" r="9525" b="5715"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6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222E0">
      <w:pPr>
        <w:pStyle w:val="3"/>
        <w:jc w:val="left"/>
        <w:rPr>
          <w:rFonts w:hint="eastAsia" w:eastAsia="宋体"/>
          <w:lang w:eastAsia="zh-CN"/>
        </w:rPr>
      </w:pPr>
      <w:bookmarkStart w:id="38" w:name="_Toc25060"/>
      <w:r>
        <w:rPr>
          <w:u w:color="auto"/>
        </w:rPr>
        <w:t>1.2课题信息变更</w:t>
      </w:r>
      <w:r>
        <w:rPr>
          <w:rFonts w:hint="eastAsia"/>
          <w:u w:color="auto"/>
          <w:lang w:eastAsia="zh-CN"/>
        </w:rPr>
        <w:t>（</w:t>
      </w:r>
      <w:r>
        <w:rPr>
          <w:rFonts w:hint="eastAsia"/>
          <w:color w:val="FF0000"/>
          <w:u w:color="auto"/>
          <w:lang w:val="en-US" w:eastAsia="zh-CN"/>
        </w:rPr>
        <w:t>仅针对选题完成后需修改课题才操作此流程</w:t>
      </w:r>
      <w:r>
        <w:rPr>
          <w:rFonts w:hint="eastAsia"/>
          <w:u w:color="auto"/>
          <w:lang w:eastAsia="zh-CN"/>
        </w:rPr>
        <w:t>）</w:t>
      </w:r>
      <w:bookmarkEnd w:id="38"/>
    </w:p>
    <w:p w14:paraId="27C02F85">
      <w:pPr>
        <w:pStyle w:val="4"/>
        <w:jc w:val="left"/>
      </w:pPr>
      <w:bookmarkStart w:id="39" w:name="_Toc1169"/>
      <w:r>
        <w:rPr>
          <w:u w:color="auto"/>
        </w:rPr>
        <w:t>1.2.1申请课题信息变更</w:t>
      </w:r>
      <w:bookmarkEnd w:id="39"/>
    </w:p>
    <w:p w14:paraId="008715AE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用户选择左边菜单栏“选题管理”——进入“课题信息变更”页面——点击“申请”按钮即可跳转课题修改详情界面——在弹窗中根据模版内容填写新的课题信息，确认无误后点击确定提交——等待指导老师审核。</w:t>
      </w:r>
    </w:p>
    <w:p w14:paraId="055B7CF2">
      <w:pPr>
        <w:jc w:val="center"/>
      </w:pPr>
      <w:r>
        <w:rPr>
          <w:u w:color="auto"/>
        </w:rPr>
        <w:drawing>
          <wp:inline distT="0" distB="0" distL="0" distR="0">
            <wp:extent cx="5267325" cy="647700"/>
            <wp:effectExtent l="0" t="0" r="9525" b="0"/>
            <wp:docPr id="4" name="Drawing 4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 4" descr="Generated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B183C">
      <w:pPr>
        <w:jc w:val="center"/>
      </w:pPr>
      <w:r>
        <w:rPr>
          <w:u w:color="auto"/>
        </w:rPr>
        <w:drawing>
          <wp:inline distT="0" distB="0" distL="0" distR="0">
            <wp:extent cx="5267325" cy="3219450"/>
            <wp:effectExtent l="0" t="0" r="9525" b="0"/>
            <wp:docPr id="5" name="Drawing 5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wing 5" descr="Generate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76241">
      <w:pPr>
        <w:jc w:val="center"/>
      </w:pPr>
      <w:r>
        <w:rPr>
          <w:u w:color="auto"/>
        </w:rPr>
        <w:drawing>
          <wp:inline distT="0" distB="0" distL="0" distR="0">
            <wp:extent cx="5267325" cy="3200400"/>
            <wp:effectExtent l="0" t="0" r="9525" b="0"/>
            <wp:docPr id="1210144586" name="Drawing 6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144586" name="Drawing 6" descr="Generated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F5196">
      <w:pPr>
        <w:pStyle w:val="2"/>
        <w:jc w:val="left"/>
      </w:pPr>
      <w:bookmarkStart w:id="40" w:name="_Toc3262"/>
      <w:r>
        <w:rPr>
          <w:u w:color="auto"/>
        </w:rPr>
        <w:t>2.过程管理</w:t>
      </w:r>
      <w:bookmarkEnd w:id="40"/>
    </w:p>
    <w:p w14:paraId="7014A4B3">
      <w:pPr>
        <w:pStyle w:val="3"/>
        <w:jc w:val="left"/>
      </w:pPr>
      <w:bookmarkStart w:id="41" w:name="_Toc9546"/>
      <w:r>
        <w:rPr>
          <w:u w:color="auto"/>
        </w:rPr>
        <w:t>2.1开题报告</w:t>
      </w:r>
      <w:bookmarkEnd w:id="41"/>
    </w:p>
    <w:p w14:paraId="0BA817AF">
      <w:pPr>
        <w:pStyle w:val="4"/>
        <w:jc w:val="left"/>
      </w:pPr>
      <w:bookmarkStart w:id="42" w:name="_Toc865"/>
      <w:r>
        <w:rPr>
          <w:u w:color="auto"/>
        </w:rPr>
        <w:t>2.1.1编辑开题报告</w:t>
      </w:r>
      <w:bookmarkEnd w:id="42"/>
    </w:p>
    <w:p w14:paraId="6A70A657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第1步：用户点击左边菜单栏“过程管理”——选择“开题报告”，进入“编辑开题报告”页面，在此点击“编辑”按钮即可进入开题报告详情页面——在弹窗中根据提示填写开题报告详细内容；</w:t>
      </w:r>
    </w:p>
    <w:p w14:paraId="03E69D04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第2步：填写完成后点击“提交”或“暂存”。提交即进入审核环节，审核退回之前不可修改；暂存并未进入下一节点，可以再次编辑修改。</w:t>
      </w:r>
    </w:p>
    <w:p w14:paraId="397927A7">
      <w:pPr>
        <w:jc w:val="center"/>
      </w:pPr>
      <w:r>
        <w:rPr>
          <w:u w:color="auto"/>
        </w:rPr>
        <w:drawing>
          <wp:inline distT="0" distB="0" distL="0" distR="0">
            <wp:extent cx="5267325" cy="666750"/>
            <wp:effectExtent l="0" t="0" r="9525" b="0"/>
            <wp:docPr id="7" name="Drawing 7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 7" descr="Generated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16C16">
      <w:pPr>
        <w:jc w:val="center"/>
      </w:pPr>
      <w:r>
        <w:rPr>
          <w:u w:color="auto"/>
        </w:rPr>
        <w:drawing>
          <wp:inline distT="0" distB="0" distL="0" distR="0">
            <wp:extent cx="5267325" cy="3152775"/>
            <wp:effectExtent l="0" t="0" r="9525" b="9525"/>
            <wp:docPr id="1735699819" name="Drawing 8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699819" name="Drawing 8" descr="Generated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E1FA3">
      <w:pPr>
        <w:jc w:val="center"/>
      </w:pPr>
      <w:r>
        <w:drawing>
          <wp:inline distT="0" distB="0" distL="114300" distR="114300">
            <wp:extent cx="5269865" cy="2895600"/>
            <wp:effectExtent l="0" t="0" r="13335" b="0"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0FE9B">
      <w:pPr>
        <w:jc w:val="both"/>
      </w:pPr>
    </w:p>
    <w:p w14:paraId="2804CD67">
      <w:pPr>
        <w:pStyle w:val="4"/>
        <w:jc w:val="left"/>
      </w:pPr>
      <w:bookmarkStart w:id="43" w:name="_Toc285"/>
      <w:r>
        <w:rPr>
          <w:u w:color="auto"/>
        </w:rPr>
        <w:t>2.1.</w:t>
      </w:r>
      <w:r>
        <w:rPr>
          <w:rFonts w:hint="eastAsia"/>
          <w:u w:color="auto"/>
          <w:lang w:val="en-US" w:eastAsia="zh-CN"/>
        </w:rPr>
        <w:t>2导出</w:t>
      </w:r>
      <w:r>
        <w:rPr>
          <w:u w:color="auto"/>
        </w:rPr>
        <w:t>开题报告</w:t>
      </w:r>
      <w:bookmarkEnd w:id="43"/>
    </w:p>
    <w:p w14:paraId="367650A6">
      <w:pPr>
        <w:keepLines/>
        <w:ind w:firstLine="420" w:firstLineChars="200"/>
        <w:jc w:val="left"/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1"/>
          <w:u w:color="auto"/>
        </w:rPr>
        <w:t>第1步：用户点击左边菜单栏</w:t>
      </w:r>
      <w:r>
        <w:rPr>
          <w:rFonts w:hint="eastAsia" w:ascii="宋体" w:hAnsi="宋体" w:cs="宋体"/>
          <w:sz w:val="21"/>
          <w:u w:color="auto"/>
          <w:lang w:eastAsia="zh-CN"/>
        </w:rPr>
        <w:t>“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下载中心</w:t>
      </w:r>
      <w:r>
        <w:rPr>
          <w:rFonts w:hint="eastAsia" w:ascii="宋体" w:hAnsi="宋体" w:cs="宋体"/>
          <w:sz w:val="21"/>
          <w:u w:color="auto"/>
          <w:lang w:eastAsia="zh-CN"/>
        </w:rPr>
        <w:t>”</w:t>
      </w:r>
      <w:r>
        <w:rPr>
          <w:rFonts w:hint="eastAsia" w:ascii="宋体" w:hAnsi="宋体" w:eastAsia="宋体" w:cs="宋体"/>
          <w:sz w:val="21"/>
          <w:u w:color="auto"/>
        </w:rPr>
        <w:t>-</w:t>
      </w:r>
      <w:r>
        <w:rPr>
          <w:rFonts w:hint="eastAsia" w:ascii="宋体" w:hAnsi="宋体" w:cs="宋体"/>
          <w:sz w:val="21"/>
          <w:u w:color="auto"/>
          <w:lang w:eastAsia="zh-CN"/>
        </w:rPr>
        <w:t>“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文件下载</w:t>
      </w:r>
      <w:r>
        <w:rPr>
          <w:rFonts w:hint="eastAsia" w:ascii="宋体" w:hAnsi="宋体" w:cs="宋体"/>
          <w:sz w:val="21"/>
          <w:u w:color="auto"/>
          <w:lang w:eastAsia="zh-CN"/>
        </w:rPr>
        <w:t>”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-“归档材料下载”</w:t>
      </w:r>
      <w:r>
        <w:rPr>
          <w:rFonts w:hint="eastAsia" w:ascii="宋体" w:hAnsi="宋体" w:eastAsia="宋体" w:cs="宋体"/>
          <w:sz w:val="21"/>
          <w:u w:color="auto"/>
        </w:rPr>
        <w:t>可勾选下载</w:t>
      </w:r>
      <w:r>
        <w:rPr>
          <w:rFonts w:hint="eastAsia" w:ascii="宋体" w:hAnsi="宋体" w:cs="宋体"/>
          <w:sz w:val="21"/>
          <w:u w:color="auto"/>
          <w:lang w:val="en-US" w:eastAsia="zh-CN"/>
        </w:rPr>
        <w:t>个人开题报告。</w:t>
      </w:r>
    </w:p>
    <w:p w14:paraId="387AB0D3"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989070" cy="3133090"/>
            <wp:effectExtent l="0" t="0" r="11430" b="10160"/>
            <wp:docPr id="14" name="图片 14" descr="4b0c7396ae903cdf5ba8108b0926d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4b0c7396ae903cdf5ba8108b0926de2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989070" cy="31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5EC46"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606290" cy="2350770"/>
            <wp:effectExtent l="0" t="0" r="3810" b="11430"/>
            <wp:docPr id="17" name="图片 17" descr="cbd30f374f0ca3c750fc174e550882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bd30f374f0ca3c750fc174e5508821d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06290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90722">
      <w:pPr>
        <w:jc w:val="center"/>
        <w:rPr>
          <w:rFonts w:hint="eastAsia" w:eastAsia="宋体"/>
          <w:lang w:eastAsia="zh-CN"/>
        </w:rPr>
      </w:pPr>
    </w:p>
    <w:p w14:paraId="5170EDAF">
      <w:pPr>
        <w:pStyle w:val="3"/>
        <w:jc w:val="left"/>
      </w:pPr>
      <w:bookmarkStart w:id="44" w:name="_Toc21073"/>
      <w:r>
        <w:rPr>
          <w:u w:color="auto"/>
        </w:rPr>
        <w:t>2.2中期报告</w:t>
      </w:r>
      <w:bookmarkEnd w:id="44"/>
    </w:p>
    <w:p w14:paraId="6707E10F">
      <w:pPr>
        <w:pStyle w:val="4"/>
        <w:jc w:val="left"/>
      </w:pPr>
      <w:bookmarkStart w:id="45" w:name="_Toc2087"/>
      <w:r>
        <w:rPr>
          <w:u w:color="auto"/>
        </w:rPr>
        <w:t>2.2.1编辑中期报告</w:t>
      </w:r>
      <w:bookmarkEnd w:id="45"/>
    </w:p>
    <w:p w14:paraId="21506F83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第1步：用户点击左边菜单栏“过程管理”——选择“中期报告”，进入“编辑中期报告”页面，在此点击“新增”按钮即可进入中期报告详情页面——在弹窗中根据提示填写详细内容；</w:t>
      </w:r>
    </w:p>
    <w:p w14:paraId="3D5E669D">
      <w:pPr>
        <w:keepLines/>
        <w:ind w:firstLine="420" w:firstLineChars="200"/>
        <w:jc w:val="left"/>
        <w:rPr>
          <w:rFonts w:ascii="宋体" w:hAnsi="宋体" w:eastAsia="宋体" w:cs="宋体"/>
          <w:sz w:val="21"/>
          <w:u w:color="auto"/>
        </w:rPr>
      </w:pPr>
      <w:r>
        <w:rPr>
          <w:rFonts w:ascii="宋体" w:hAnsi="宋体" w:eastAsia="宋体" w:cs="宋体"/>
          <w:sz w:val="21"/>
          <w:u w:color="auto"/>
        </w:rPr>
        <w:t>第2步：填写完成后点击“提交”或“暂存”。提交即进入审核环节，审核退回之前不可修改；暂存并未进入下一节点，可以再次编辑修改。点击“确定并继续”即可继续新增。</w:t>
      </w:r>
    </w:p>
    <w:p w14:paraId="723EBBA3">
      <w:pPr>
        <w:keepLines/>
        <w:ind w:firstLine="420" w:firstLineChars="200"/>
        <w:jc w:val="left"/>
        <w:rPr>
          <w:rFonts w:hint="default" w:ascii="宋体" w:hAnsi="宋体" w:eastAsia="宋体" w:cs="宋体"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需注意：中期报告可提交多次，每次提交点新增按钮即可，请根据实际情况提交。</w:t>
      </w:r>
    </w:p>
    <w:p w14:paraId="45C67815">
      <w:pPr>
        <w:jc w:val="center"/>
      </w:pPr>
    </w:p>
    <w:p w14:paraId="07B2F062">
      <w:pPr>
        <w:jc w:val="center"/>
      </w:pPr>
      <w:r>
        <w:drawing>
          <wp:inline distT="0" distB="0" distL="114300" distR="114300">
            <wp:extent cx="5266690" cy="2499360"/>
            <wp:effectExtent l="0" t="0" r="10160" b="15240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BB195">
      <w:pPr>
        <w:jc w:val="center"/>
      </w:pPr>
      <w:r>
        <w:drawing>
          <wp:inline distT="0" distB="0" distL="114300" distR="114300">
            <wp:extent cx="5262880" cy="3008630"/>
            <wp:effectExtent l="0" t="0" r="13970" b="1270"/>
            <wp:docPr id="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00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D3F8C">
      <w:pPr>
        <w:pStyle w:val="3"/>
        <w:jc w:val="left"/>
        <w:rPr>
          <w:rFonts w:hint="eastAsia" w:eastAsia="宋体"/>
          <w:lang w:eastAsia="zh-CN"/>
        </w:rPr>
      </w:pPr>
      <w:bookmarkStart w:id="46" w:name="_Toc4164"/>
      <w:r>
        <w:rPr>
          <w:u w:color="auto"/>
        </w:rPr>
        <w:t>2.3</w:t>
      </w:r>
      <w:r>
        <w:rPr>
          <w:rFonts w:hint="eastAsia"/>
          <w:u w:color="auto"/>
          <w:lang w:eastAsia="zh-CN"/>
        </w:rPr>
        <w:t>初稿</w:t>
      </w:r>
      <w:bookmarkEnd w:id="46"/>
    </w:p>
    <w:p w14:paraId="4788E74E">
      <w:pPr>
        <w:pStyle w:val="4"/>
        <w:jc w:val="left"/>
        <w:rPr>
          <w:rFonts w:hint="eastAsia" w:eastAsia="宋体"/>
          <w:lang w:eastAsia="zh-CN"/>
        </w:rPr>
      </w:pPr>
      <w:bookmarkStart w:id="47" w:name="_Toc18754"/>
      <w:r>
        <w:rPr>
          <w:u w:color="auto"/>
        </w:rPr>
        <w:t>2.3.1编辑</w:t>
      </w:r>
      <w:r>
        <w:rPr>
          <w:rFonts w:hint="eastAsia"/>
          <w:u w:color="auto"/>
          <w:lang w:eastAsia="zh-CN"/>
        </w:rPr>
        <w:t>初稿</w:t>
      </w:r>
      <w:bookmarkEnd w:id="47"/>
    </w:p>
    <w:p w14:paraId="76295258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第1步：用户点击左边菜单栏“过程管理”——选择“</w:t>
      </w:r>
      <w:r>
        <w:rPr>
          <w:rFonts w:hint="eastAsia" w:ascii="宋体" w:hAnsi="宋体" w:cs="宋体"/>
          <w:sz w:val="21"/>
          <w:u w:color="auto"/>
          <w:lang w:eastAsia="zh-CN"/>
        </w:rPr>
        <w:t>初稿</w:t>
      </w:r>
      <w:r>
        <w:rPr>
          <w:rFonts w:ascii="宋体" w:hAnsi="宋体" w:eastAsia="宋体" w:cs="宋体"/>
          <w:sz w:val="21"/>
          <w:u w:color="auto"/>
        </w:rPr>
        <w:t>”，进入“编辑</w:t>
      </w:r>
      <w:r>
        <w:rPr>
          <w:rFonts w:hint="eastAsia" w:ascii="宋体" w:hAnsi="宋体" w:cs="宋体"/>
          <w:sz w:val="21"/>
          <w:u w:color="auto"/>
          <w:lang w:eastAsia="zh-CN"/>
        </w:rPr>
        <w:t>初稿</w:t>
      </w:r>
      <w:r>
        <w:rPr>
          <w:rFonts w:ascii="宋体" w:hAnsi="宋体" w:eastAsia="宋体" w:cs="宋体"/>
          <w:sz w:val="21"/>
          <w:u w:color="auto"/>
        </w:rPr>
        <w:t>”页面，在此点击“编辑”按钮即可进入</w:t>
      </w:r>
      <w:r>
        <w:rPr>
          <w:rFonts w:hint="eastAsia" w:ascii="宋体" w:hAnsi="宋体" w:cs="宋体"/>
          <w:sz w:val="21"/>
          <w:u w:color="auto"/>
          <w:lang w:eastAsia="zh-CN"/>
        </w:rPr>
        <w:t>初稿</w:t>
      </w:r>
      <w:r>
        <w:rPr>
          <w:rFonts w:ascii="宋体" w:hAnsi="宋体" w:eastAsia="宋体" w:cs="宋体"/>
          <w:sz w:val="21"/>
          <w:u w:color="auto"/>
        </w:rPr>
        <w:t>详情页面——在弹窗中上传附件；</w:t>
      </w:r>
    </w:p>
    <w:p w14:paraId="5720F4FA">
      <w:pPr>
        <w:jc w:val="center"/>
      </w:pPr>
      <w:r>
        <w:drawing>
          <wp:inline distT="0" distB="0" distL="114300" distR="114300">
            <wp:extent cx="5271135" cy="2219960"/>
            <wp:effectExtent l="0" t="0" r="12065" b="1524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1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84D6C">
      <w:pPr>
        <w:jc w:val="center"/>
      </w:pPr>
    </w:p>
    <w:p w14:paraId="197621D3">
      <w:pPr>
        <w:jc w:val="center"/>
        <w:rPr>
          <w:u w:color="auto"/>
        </w:rPr>
      </w:pPr>
      <w:r>
        <w:rPr>
          <w:u w:color="auto"/>
        </w:rPr>
        <w:drawing>
          <wp:inline distT="0" distB="0" distL="0" distR="0">
            <wp:extent cx="5267325" cy="3181350"/>
            <wp:effectExtent l="0" t="0" r="9525" b="0"/>
            <wp:docPr id="16" name="Drawing 16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rawing 16" descr="Generated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01F22">
      <w:pPr>
        <w:jc w:val="center"/>
        <w:rPr>
          <w:u w:color="auto"/>
        </w:rPr>
      </w:pPr>
    </w:p>
    <w:p w14:paraId="6DDCC600">
      <w:pPr>
        <w:keepLines/>
        <w:ind w:firstLine="420" w:firstLineChars="200"/>
        <w:jc w:val="left"/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  <w:t>初稿检测模式：每位学⽣⼀次免费格式检测次数、⼀次免费查重检测次数，两类检测都由学⽣提交检测；⼀次免费AIGC检测次数由指导教师提交检测，初稿对三类检测没有强制检测限制</w:t>
      </w: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，</w:t>
      </w:r>
      <w: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  <w:t>以导师意⻅为准！</w:t>
      </w:r>
    </w:p>
    <w:p w14:paraId="0E9BA347">
      <w:pPr>
        <w:numPr>
          <w:ilvl w:val="0"/>
          <w:numId w:val="0"/>
        </w:num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初稿</w:t>
      </w:r>
      <w:r>
        <w:rPr>
          <w:rFonts w:hint="eastAsia"/>
          <w:b/>
          <w:bCs/>
          <w:sz w:val="24"/>
          <w:szCs w:val="24"/>
          <w:lang w:val="en-US" w:eastAsia="zh-Hans"/>
        </w:rPr>
        <w:t>环节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学生</w:t>
      </w:r>
      <w:r>
        <w:rPr>
          <w:rFonts w:hint="eastAsia"/>
          <w:b/>
          <w:bCs/>
          <w:sz w:val="24"/>
          <w:szCs w:val="24"/>
          <w:lang w:val="en-US" w:eastAsia="zh-CN"/>
        </w:rPr>
        <w:t>提交格式检测检测操作:（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一次免费格式检测</w:t>
      </w:r>
      <w:r>
        <w:rPr>
          <w:rFonts w:hint="eastAsia"/>
          <w:b/>
          <w:bCs/>
          <w:sz w:val="24"/>
          <w:szCs w:val="24"/>
          <w:lang w:val="en-US" w:eastAsia="zh-CN"/>
        </w:rPr>
        <w:t>）</w:t>
      </w:r>
    </w:p>
    <w:p w14:paraId="7766E395">
      <w:pPr>
        <w:numPr>
          <w:ilvl w:val="0"/>
          <w:numId w:val="0"/>
        </w:numPr>
      </w:pPr>
      <w:r>
        <w:drawing>
          <wp:inline distT="0" distB="0" distL="114300" distR="114300">
            <wp:extent cx="5267960" cy="3283585"/>
            <wp:effectExtent l="0" t="0" r="15240" b="1841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8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DFFCA">
      <w:r>
        <w:rPr>
          <w:rFonts w:hint="eastAsia"/>
          <w:b/>
          <w:bCs/>
          <w:sz w:val="24"/>
          <w:szCs w:val="24"/>
          <w:lang w:val="en-US" w:eastAsia="zh-CN"/>
        </w:rPr>
        <w:br w:type="page"/>
      </w:r>
      <w:r>
        <w:rPr>
          <w:rFonts w:hint="eastAsia"/>
          <w:b/>
          <w:bCs/>
          <w:sz w:val="24"/>
          <w:szCs w:val="24"/>
          <w:lang w:val="en-US" w:eastAsia="zh-CN"/>
        </w:rPr>
        <w:t>初稿</w:t>
      </w:r>
      <w:r>
        <w:rPr>
          <w:rFonts w:hint="eastAsia"/>
          <w:b/>
          <w:bCs/>
          <w:sz w:val="24"/>
          <w:szCs w:val="24"/>
          <w:lang w:val="en-US" w:eastAsia="zh-Hans"/>
        </w:rPr>
        <w:t>环节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学生</w:t>
      </w:r>
      <w:r>
        <w:rPr>
          <w:rFonts w:hint="eastAsia"/>
          <w:b/>
          <w:bCs/>
          <w:sz w:val="24"/>
          <w:szCs w:val="24"/>
          <w:lang w:val="en-US" w:eastAsia="zh-CN"/>
        </w:rPr>
        <w:t>提交查重检测检测操作:（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一次免费查重检测</w:t>
      </w:r>
      <w:r>
        <w:rPr>
          <w:rFonts w:hint="eastAsia"/>
          <w:b/>
          <w:bCs/>
          <w:sz w:val="24"/>
          <w:szCs w:val="24"/>
          <w:lang w:val="en-US" w:eastAsia="zh-CN"/>
        </w:rPr>
        <w:t>）</w:t>
      </w:r>
    </w:p>
    <w:p w14:paraId="425623F3">
      <w:pPr>
        <w:keepLines/>
        <w:ind w:firstLine="420" w:firstLineChars="200"/>
        <w:jc w:val="left"/>
        <w:rPr>
          <w:rFonts w:hint="default" w:ascii="宋体" w:hAnsi="宋体" w:eastAsia="宋体" w:cs="宋体"/>
          <w:color w:val="FF0000"/>
          <w:sz w:val="21"/>
          <w:u w:color="auto"/>
          <w:lang w:val="en-US" w:eastAsia="zh-CN"/>
        </w:rPr>
      </w:pPr>
      <w:r>
        <w:drawing>
          <wp:inline distT="0" distB="0" distL="114300" distR="114300">
            <wp:extent cx="5267960" cy="3272790"/>
            <wp:effectExtent l="0" t="0" r="15240" b="381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7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74005">
      <w:pPr>
        <w:jc w:val="center"/>
        <w:rPr>
          <w:u w:color="auto"/>
        </w:rPr>
      </w:pPr>
    </w:p>
    <w:p w14:paraId="325843FE">
      <w:pPr>
        <w:pStyle w:val="3"/>
        <w:jc w:val="left"/>
        <w:rPr>
          <w:rFonts w:hint="eastAsia" w:eastAsia="宋体"/>
          <w:lang w:eastAsia="zh-CN"/>
        </w:rPr>
      </w:pPr>
      <w:bookmarkStart w:id="48" w:name="_Toc32694"/>
      <w:r>
        <w:rPr>
          <w:u w:color="auto"/>
        </w:rPr>
        <w:t>2.4</w:t>
      </w:r>
      <w:r>
        <w:rPr>
          <w:rFonts w:hint="eastAsia"/>
          <w:u w:color="auto"/>
          <w:lang w:eastAsia="zh-CN"/>
        </w:rPr>
        <w:t>查重稿</w:t>
      </w:r>
      <w:bookmarkEnd w:id="48"/>
    </w:p>
    <w:p w14:paraId="741ACF47">
      <w:pPr>
        <w:pStyle w:val="4"/>
        <w:jc w:val="left"/>
        <w:rPr>
          <w:rFonts w:hint="eastAsia" w:eastAsia="宋体"/>
          <w:lang w:eastAsia="zh-CN"/>
        </w:rPr>
      </w:pPr>
      <w:bookmarkStart w:id="49" w:name="_Toc30660"/>
      <w:r>
        <w:rPr>
          <w:u w:color="auto"/>
        </w:rPr>
        <w:t>2.4.1编辑</w:t>
      </w:r>
      <w:r>
        <w:rPr>
          <w:rFonts w:hint="eastAsia"/>
          <w:u w:color="auto"/>
          <w:lang w:eastAsia="zh-CN"/>
        </w:rPr>
        <w:t>查重稿</w:t>
      </w:r>
      <w:bookmarkEnd w:id="49"/>
    </w:p>
    <w:p w14:paraId="4FD05595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第1步：用户点击左边菜单栏“过程管理”——选择“</w:t>
      </w:r>
      <w:r>
        <w:rPr>
          <w:rFonts w:hint="eastAsia" w:ascii="宋体" w:hAnsi="宋体" w:cs="宋体"/>
          <w:sz w:val="21"/>
          <w:u w:color="auto"/>
          <w:lang w:eastAsia="zh-CN"/>
        </w:rPr>
        <w:t>查重稿</w:t>
      </w:r>
      <w:r>
        <w:rPr>
          <w:rFonts w:ascii="宋体" w:hAnsi="宋体" w:eastAsia="宋体" w:cs="宋体"/>
          <w:sz w:val="21"/>
          <w:u w:color="auto"/>
        </w:rPr>
        <w:t>”，进入“编辑</w:t>
      </w:r>
      <w:r>
        <w:rPr>
          <w:rFonts w:hint="eastAsia" w:ascii="宋体" w:hAnsi="宋体" w:cs="宋体"/>
          <w:sz w:val="21"/>
          <w:u w:color="auto"/>
          <w:lang w:eastAsia="zh-CN"/>
        </w:rPr>
        <w:t>查重稿</w:t>
      </w:r>
      <w:r>
        <w:rPr>
          <w:rFonts w:ascii="宋体" w:hAnsi="宋体" w:eastAsia="宋体" w:cs="宋体"/>
          <w:sz w:val="21"/>
          <w:u w:color="auto"/>
        </w:rPr>
        <w:t>”页面，在此点击“编辑”按钮即可进入</w:t>
      </w:r>
      <w:r>
        <w:rPr>
          <w:rFonts w:hint="eastAsia" w:ascii="宋体" w:hAnsi="宋体" w:cs="宋体"/>
          <w:sz w:val="21"/>
          <w:u w:color="auto"/>
          <w:lang w:eastAsia="zh-CN"/>
        </w:rPr>
        <w:t>查重稿</w:t>
      </w:r>
      <w:r>
        <w:rPr>
          <w:rFonts w:ascii="宋体" w:hAnsi="宋体" w:eastAsia="宋体" w:cs="宋体"/>
          <w:sz w:val="21"/>
          <w:u w:color="auto"/>
        </w:rPr>
        <w:t>详情页面——在弹窗中上传附件；</w:t>
      </w:r>
    </w:p>
    <w:p w14:paraId="1C9A3701">
      <w:pPr>
        <w:jc w:val="center"/>
      </w:pPr>
    </w:p>
    <w:p w14:paraId="0B413927">
      <w:pPr>
        <w:jc w:val="center"/>
      </w:pPr>
      <w:r>
        <w:drawing>
          <wp:inline distT="0" distB="0" distL="114300" distR="114300">
            <wp:extent cx="5269230" cy="2239010"/>
            <wp:effectExtent l="0" t="0" r="13970" b="2159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3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68245">
      <w:pPr>
        <w:jc w:val="center"/>
      </w:pPr>
    </w:p>
    <w:p w14:paraId="4D95B505">
      <w:pPr>
        <w:jc w:val="center"/>
        <w:rPr>
          <w:u w:color="auto"/>
        </w:rPr>
      </w:pPr>
      <w:r>
        <w:rPr>
          <w:u w:color="auto"/>
        </w:rPr>
        <w:drawing>
          <wp:inline distT="0" distB="0" distL="0" distR="0">
            <wp:extent cx="5267325" cy="3143250"/>
            <wp:effectExtent l="0" t="0" r="9525" b="0"/>
            <wp:docPr id="20" name="Drawing 20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Drawing 20" descr="Generated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A1DA6">
      <w:pPr>
        <w:keepLines/>
        <w:ind w:firstLine="420" w:firstLineChars="200"/>
        <w:jc w:val="left"/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查重稿</w:t>
      </w:r>
      <w: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  <w:t>检测模式：每位学生一次免费查重检测，由教学秘书统一提交查重检测，查重检测重复率必须达到学校要求（30%以内）。</w:t>
      </w:r>
    </w:p>
    <w:p w14:paraId="1784FCCD">
      <w:pPr>
        <w:keepLines/>
        <w:ind w:firstLine="420" w:firstLineChars="200"/>
        <w:jc w:val="left"/>
        <w:rPr>
          <w:u w:color="auto"/>
        </w:rPr>
      </w:pPr>
    </w:p>
    <w:p w14:paraId="7D3F9898">
      <w:pPr>
        <w:keepLines/>
        <w:ind w:firstLine="420" w:firstLineChars="200"/>
        <w:jc w:val="left"/>
        <w:rPr>
          <w:u w:color="auto"/>
        </w:rPr>
      </w:pPr>
    </w:p>
    <w:p w14:paraId="66B138D9">
      <w:pPr>
        <w:pStyle w:val="3"/>
        <w:jc w:val="left"/>
        <w:rPr>
          <w:rFonts w:hint="default" w:eastAsia="宋体"/>
          <w:lang w:val="en-US" w:eastAsia="zh-CN"/>
        </w:rPr>
      </w:pPr>
      <w:bookmarkStart w:id="50" w:name="_Toc15944"/>
      <w:r>
        <w:rPr>
          <w:u w:color="auto"/>
        </w:rPr>
        <w:t>2.</w:t>
      </w:r>
      <w:r>
        <w:rPr>
          <w:rFonts w:hint="eastAsia"/>
          <w:u w:color="auto"/>
          <w:lang w:val="en-US" w:eastAsia="zh-CN"/>
        </w:rPr>
        <w:t>5考核意见表</w:t>
      </w:r>
      <w:bookmarkEnd w:id="50"/>
    </w:p>
    <w:p w14:paraId="0E978FFA">
      <w:pPr>
        <w:pStyle w:val="4"/>
        <w:jc w:val="left"/>
        <w:rPr>
          <w:rFonts w:hint="eastAsia" w:eastAsia="宋体"/>
          <w:lang w:eastAsia="zh-CN"/>
        </w:rPr>
      </w:pPr>
      <w:bookmarkStart w:id="51" w:name="_Toc7139"/>
      <w:r>
        <w:rPr>
          <w:u w:color="auto"/>
        </w:rPr>
        <w:t>2.</w:t>
      </w:r>
      <w:r>
        <w:rPr>
          <w:rFonts w:hint="eastAsia"/>
          <w:u w:color="auto"/>
          <w:lang w:val="en-US" w:eastAsia="zh-CN"/>
        </w:rPr>
        <w:t>5</w:t>
      </w:r>
      <w:r>
        <w:rPr>
          <w:u w:color="auto"/>
        </w:rPr>
        <w:t>.1</w:t>
      </w:r>
      <w:r>
        <w:rPr>
          <w:rFonts w:hint="eastAsia"/>
          <w:u w:color="auto"/>
          <w:lang w:val="en-US" w:eastAsia="zh-CN"/>
        </w:rPr>
        <w:t>提交考核意见表</w:t>
      </w:r>
      <w:bookmarkEnd w:id="51"/>
    </w:p>
    <w:p w14:paraId="0DD436EC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第1步：用户点击左边菜单栏“过程管理”——选择“</w:t>
      </w:r>
      <w:r>
        <w:rPr>
          <w:rFonts w:hint="eastAsia" w:ascii="宋体" w:hAnsi="宋体" w:eastAsia="宋体" w:cs="宋体"/>
          <w:sz w:val="21"/>
          <w:u w:color="auto"/>
          <w:lang w:val="en-US" w:eastAsia="zh-CN"/>
        </w:rPr>
        <w:t>考核意见表</w:t>
      </w:r>
      <w:r>
        <w:rPr>
          <w:rFonts w:ascii="宋体" w:hAnsi="宋体" w:eastAsia="宋体" w:cs="宋体"/>
          <w:sz w:val="21"/>
          <w:u w:color="auto"/>
        </w:rPr>
        <w:t>”，进入“</w:t>
      </w:r>
      <w:r>
        <w:rPr>
          <w:rFonts w:hint="eastAsia" w:ascii="宋体" w:hAnsi="宋体" w:eastAsia="宋体" w:cs="宋体"/>
          <w:sz w:val="21"/>
          <w:u w:color="auto"/>
          <w:lang w:val="en-US" w:eastAsia="zh-CN"/>
        </w:rPr>
        <w:t>提交考核意见表</w:t>
      </w:r>
      <w:r>
        <w:rPr>
          <w:rFonts w:ascii="宋体" w:hAnsi="宋体" w:eastAsia="宋体" w:cs="宋体"/>
          <w:sz w:val="21"/>
          <w:u w:color="auto"/>
        </w:rPr>
        <w:t>”页面，在此点击“编辑”按钮即可进</w:t>
      </w:r>
      <w:r>
        <w:rPr>
          <w:rFonts w:hint="eastAsia" w:ascii="宋体" w:hAnsi="宋体" w:eastAsia="宋体" w:cs="宋体"/>
          <w:sz w:val="21"/>
          <w:u w:color="auto"/>
          <w:lang w:val="en-US" w:eastAsia="zh-CN"/>
        </w:rPr>
        <w:t>提交</w:t>
      </w:r>
      <w:r>
        <w:rPr>
          <w:rFonts w:hint="eastAsia" w:ascii="宋体" w:hAnsi="宋体" w:cs="宋体"/>
          <w:sz w:val="21"/>
          <w:u w:color="auto"/>
          <w:lang w:eastAsia="zh-CN"/>
        </w:rPr>
        <w:t>稿</w:t>
      </w:r>
      <w:r>
        <w:rPr>
          <w:rFonts w:ascii="宋体" w:hAnsi="宋体" w:eastAsia="宋体" w:cs="宋体"/>
          <w:sz w:val="21"/>
          <w:u w:color="auto"/>
        </w:rPr>
        <w:t>详情页面——在弹窗中上传附件；</w:t>
      </w:r>
      <w:r>
        <w:br w:type="textWrapping"/>
      </w:r>
      <w:r>
        <w:drawing>
          <wp:inline distT="0" distB="0" distL="114300" distR="114300">
            <wp:extent cx="5262880" cy="1608455"/>
            <wp:effectExtent l="0" t="0" r="20320" b="17145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60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73802">
      <w:pPr>
        <w:keepLines/>
        <w:ind w:firstLine="420" w:firstLineChars="200"/>
        <w:jc w:val="left"/>
      </w:pPr>
      <w:r>
        <w:drawing>
          <wp:inline distT="0" distB="0" distL="114300" distR="114300">
            <wp:extent cx="5273040" cy="3964940"/>
            <wp:effectExtent l="0" t="0" r="10160" b="22860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566CA">
      <w:pPr>
        <w:pStyle w:val="2"/>
        <w:jc w:val="left"/>
        <w:rPr>
          <w:rFonts w:hint="eastAsia" w:eastAsia="宋体"/>
          <w:lang w:eastAsia="zh-CN"/>
        </w:rPr>
      </w:pPr>
      <w:bookmarkStart w:id="52" w:name="_Toc30731"/>
      <w:r>
        <w:rPr>
          <w:u w:color="auto"/>
        </w:rPr>
        <w:t>3.</w:t>
      </w:r>
      <w:r>
        <w:rPr>
          <w:rFonts w:hint="eastAsia"/>
          <w:u w:color="auto"/>
          <w:lang w:eastAsia="zh-CN"/>
        </w:rPr>
        <w:t>归档稿</w:t>
      </w:r>
      <w:bookmarkEnd w:id="52"/>
    </w:p>
    <w:p w14:paraId="53D6A5BE">
      <w:pPr>
        <w:pStyle w:val="3"/>
        <w:jc w:val="left"/>
        <w:rPr>
          <w:rFonts w:hint="eastAsia" w:eastAsia="宋体"/>
          <w:lang w:eastAsia="zh-CN"/>
        </w:rPr>
      </w:pPr>
      <w:bookmarkStart w:id="53" w:name="_Toc11093"/>
      <w:r>
        <w:rPr>
          <w:u w:color="auto"/>
        </w:rPr>
        <w:t>3.1</w:t>
      </w:r>
      <w:r>
        <w:rPr>
          <w:rFonts w:hint="eastAsia"/>
          <w:u w:color="auto"/>
          <w:lang w:eastAsia="zh-CN"/>
        </w:rPr>
        <w:t>归档稿</w:t>
      </w:r>
      <w:bookmarkEnd w:id="53"/>
    </w:p>
    <w:p w14:paraId="7DCBFFBD">
      <w:pPr>
        <w:pStyle w:val="4"/>
        <w:jc w:val="left"/>
        <w:rPr>
          <w:rFonts w:hint="eastAsia" w:eastAsia="宋体"/>
          <w:lang w:eastAsia="zh-CN"/>
        </w:rPr>
      </w:pPr>
      <w:bookmarkStart w:id="54" w:name="_Toc1569"/>
      <w:r>
        <w:rPr>
          <w:u w:color="auto"/>
        </w:rPr>
        <w:t>3.1.1编辑</w:t>
      </w:r>
      <w:r>
        <w:rPr>
          <w:rFonts w:hint="eastAsia"/>
          <w:u w:color="auto"/>
          <w:lang w:eastAsia="zh-CN"/>
        </w:rPr>
        <w:t>归档稿</w:t>
      </w:r>
      <w:bookmarkEnd w:id="54"/>
    </w:p>
    <w:p w14:paraId="524D5912">
      <w:pPr>
        <w:keepLines/>
        <w:ind w:firstLine="420" w:firstLineChars="200"/>
        <w:jc w:val="left"/>
      </w:pPr>
      <w:r>
        <w:rPr>
          <w:rFonts w:ascii="宋体" w:hAnsi="宋体" w:eastAsia="宋体" w:cs="宋体"/>
          <w:sz w:val="21"/>
          <w:u w:color="auto"/>
        </w:rPr>
        <w:t>第1步：用户点击左边菜单栏“</w:t>
      </w:r>
      <w:r>
        <w:rPr>
          <w:rFonts w:hint="eastAsia" w:ascii="宋体" w:hAnsi="宋体" w:cs="宋体"/>
          <w:sz w:val="21"/>
          <w:u w:color="auto"/>
          <w:lang w:eastAsia="zh-CN"/>
        </w:rPr>
        <w:t>归档稿</w:t>
      </w:r>
      <w:r>
        <w:rPr>
          <w:rFonts w:ascii="宋体" w:hAnsi="宋体" w:eastAsia="宋体" w:cs="宋体"/>
          <w:sz w:val="21"/>
          <w:u w:color="auto"/>
        </w:rPr>
        <w:t>”——选择“</w:t>
      </w:r>
      <w:r>
        <w:rPr>
          <w:rFonts w:hint="eastAsia" w:ascii="宋体" w:hAnsi="宋体" w:cs="宋体"/>
          <w:sz w:val="21"/>
          <w:u w:color="auto"/>
          <w:lang w:eastAsia="zh-CN"/>
        </w:rPr>
        <w:t>归档稿</w:t>
      </w:r>
      <w:r>
        <w:rPr>
          <w:rFonts w:ascii="宋体" w:hAnsi="宋体" w:eastAsia="宋体" w:cs="宋体"/>
          <w:sz w:val="21"/>
          <w:u w:color="auto"/>
        </w:rPr>
        <w:t>”，进入“编辑</w:t>
      </w:r>
      <w:r>
        <w:rPr>
          <w:rFonts w:hint="eastAsia" w:ascii="宋体" w:hAnsi="宋体" w:cs="宋体"/>
          <w:sz w:val="21"/>
          <w:u w:color="auto"/>
          <w:lang w:eastAsia="zh-CN"/>
        </w:rPr>
        <w:t>归档稿</w:t>
      </w:r>
      <w:r>
        <w:rPr>
          <w:rFonts w:ascii="宋体" w:hAnsi="宋体" w:eastAsia="宋体" w:cs="宋体"/>
          <w:sz w:val="21"/>
          <w:u w:color="auto"/>
        </w:rPr>
        <w:t>”页面，在此点击“编辑”按钮即可进入</w:t>
      </w:r>
      <w:r>
        <w:rPr>
          <w:rFonts w:hint="eastAsia" w:ascii="宋体" w:hAnsi="宋体" w:cs="宋体"/>
          <w:sz w:val="21"/>
          <w:u w:color="auto"/>
          <w:lang w:eastAsia="zh-CN"/>
        </w:rPr>
        <w:t>归档稿</w:t>
      </w:r>
      <w:r>
        <w:rPr>
          <w:rFonts w:ascii="宋体" w:hAnsi="宋体" w:eastAsia="宋体" w:cs="宋体"/>
          <w:sz w:val="21"/>
          <w:u w:color="auto"/>
        </w:rPr>
        <w:t>详情页面——在弹窗中根据上传附件；</w:t>
      </w:r>
    </w:p>
    <w:p w14:paraId="383082AF">
      <w:pPr>
        <w:keepLines/>
        <w:ind w:firstLine="420" w:firstLineChars="200"/>
        <w:jc w:val="left"/>
        <w:rPr>
          <w:rFonts w:ascii="宋体" w:hAnsi="宋体" w:eastAsia="宋体" w:cs="宋体"/>
          <w:sz w:val="21"/>
          <w:u w:color="auto"/>
        </w:rPr>
      </w:pPr>
      <w:r>
        <w:rPr>
          <w:rFonts w:ascii="宋体" w:hAnsi="宋体" w:eastAsia="宋体" w:cs="宋体"/>
          <w:sz w:val="21"/>
          <w:u w:color="auto"/>
        </w:rPr>
        <w:t>第2步：填写完成后点击“提交”或“暂存”。提交即进入审核环节，审核退回之前不可修改；暂存并未进入下一节点，可以再次编辑修改。</w:t>
      </w:r>
    </w:p>
    <w:p w14:paraId="1B8BB663">
      <w:pPr>
        <w:keepLines/>
        <w:ind w:firstLine="420" w:firstLineChars="200"/>
        <w:jc w:val="left"/>
      </w:pP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需注意该环节需填报教育部抽检字段</w:t>
      </w:r>
    </w:p>
    <w:p w14:paraId="5D89610C">
      <w:pPr>
        <w:jc w:val="center"/>
      </w:pPr>
      <w:r>
        <w:drawing>
          <wp:inline distT="0" distB="0" distL="114300" distR="114300">
            <wp:extent cx="5269230" cy="1898015"/>
            <wp:effectExtent l="0" t="0" r="13970" b="6985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9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D9FE7">
      <w:pPr>
        <w:jc w:val="center"/>
      </w:pPr>
      <w:r>
        <w:drawing>
          <wp:inline distT="0" distB="0" distL="114300" distR="114300">
            <wp:extent cx="5259070" cy="2230755"/>
            <wp:effectExtent l="0" t="0" r="24130" b="4445"/>
            <wp:docPr id="38" name="图片 7" descr="/private/var/folders/n_/m6qtzp1173d5hlqmc5z3v40c0000gn/T/com.kingsoft.wpsoffice.mac/photoeditapp/20251014151124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7" descr="/private/var/folders/n_/m6qtzp1173d5hlqmc5z3v40c0000gn/T/com.kingsoft.wpsoffice.mac/photoeditapp/20251014151124/temp.pngtemp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23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6B32D">
      <w:pPr>
        <w:jc w:val="center"/>
        <w:rPr>
          <w:u w:color="auto"/>
        </w:rPr>
      </w:pPr>
      <w:r>
        <w:rPr>
          <w:u w:color="auto"/>
        </w:rPr>
        <w:drawing>
          <wp:inline distT="0" distB="0" distL="0" distR="0">
            <wp:extent cx="5267325" cy="3124200"/>
            <wp:effectExtent l="0" t="0" r="9525" b="0"/>
            <wp:docPr id="24" name="Drawing 24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Drawing 24" descr="Generated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D2BA0">
      <w:pPr>
        <w:keepLines/>
        <w:ind w:firstLine="420" w:firstLineChars="200"/>
        <w:jc w:val="left"/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</w:pPr>
      <w:r>
        <w:rPr>
          <w:rFonts w:hint="eastAsia" w:ascii="宋体" w:hAnsi="宋体" w:cs="宋体"/>
          <w:color w:val="FF0000"/>
          <w:sz w:val="21"/>
          <w:u w:color="auto"/>
          <w:lang w:val="en-US" w:eastAsia="zh-CN"/>
        </w:rPr>
        <w:t>归档稿</w:t>
      </w:r>
      <w:r>
        <w:rPr>
          <w:rFonts w:hint="eastAsia" w:ascii="宋体" w:hAnsi="宋体" w:eastAsia="宋体" w:cs="宋体"/>
          <w:color w:val="FF0000"/>
          <w:sz w:val="21"/>
          <w:u w:color="auto"/>
          <w:lang w:val="en-US" w:eastAsia="zh-CN"/>
        </w:rPr>
        <w:t>检测模式：每位学生一次免费查重检测，由教学秘书统一提交查重检测，查重检测重复率必须达到学校要求（30%以内）。</w:t>
      </w:r>
    </w:p>
    <w:p w14:paraId="7B0F9C6A">
      <w:pPr>
        <w:jc w:val="both"/>
        <w:rPr>
          <w:u w:color="auto"/>
        </w:rPr>
      </w:pPr>
    </w:p>
    <w:p w14:paraId="274055F3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bookmarkStart w:id="55" w:name="_Toc22406"/>
      <w:bookmarkStart w:id="56" w:name="_Toc29680"/>
      <w:bookmarkStart w:id="57" w:name="_Toc21967825"/>
      <w:bookmarkStart w:id="58" w:name="_Toc5161"/>
      <w:bookmarkStart w:id="59" w:name="_Toc21506725"/>
      <w:bookmarkStart w:id="60" w:name="_Toc13523"/>
      <w:bookmarkStart w:id="61" w:name="_Toc21113907"/>
      <w:bookmarkStart w:id="62" w:name="_Toc21507034"/>
      <w:bookmarkStart w:id="63" w:name="_Toc11588"/>
      <w:bookmarkStart w:id="64" w:name="_Toc4888"/>
      <w:bookmarkStart w:id="65" w:name="_Toc20700"/>
      <w:bookmarkStart w:id="66" w:name="_Toc19779"/>
      <w:bookmarkStart w:id="67" w:name="_Toc14609"/>
      <w:bookmarkStart w:id="68" w:name="_Toc1740308402_WPSOffice_Level3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>信息管理</w:t>
      </w:r>
      <w:bookmarkEnd w:id="55"/>
      <w:bookmarkEnd w:id="56"/>
    </w:p>
    <w:p w14:paraId="046F0441">
      <w:pPr>
        <w:pStyle w:val="3"/>
        <w:rPr>
          <w:sz w:val="24"/>
          <w:szCs w:val="24"/>
        </w:rPr>
      </w:pPr>
      <w:bookmarkStart w:id="69" w:name="_Toc8739"/>
      <w:bookmarkStart w:id="70" w:name="_Toc23383"/>
      <w:r>
        <w:rPr>
          <w:rFonts w:hint="eastAsia"/>
          <w:sz w:val="24"/>
          <w:szCs w:val="24"/>
        </w:rPr>
        <w:t>1</w:t>
      </w:r>
      <w:bookmarkEnd w:id="57"/>
      <w:bookmarkEnd w:id="58"/>
      <w:bookmarkEnd w:id="59"/>
      <w:bookmarkEnd w:id="60"/>
      <w:bookmarkEnd w:id="61"/>
      <w:bookmarkEnd w:id="62"/>
      <w:bookmarkEnd w:id="63"/>
      <w:r>
        <w:rPr>
          <w:rFonts w:hint="eastAsia"/>
          <w:sz w:val="24"/>
          <w:szCs w:val="24"/>
        </w:rPr>
        <w:t>、站内信</w:t>
      </w:r>
      <w:bookmarkEnd w:id="64"/>
      <w:bookmarkEnd w:id="65"/>
      <w:bookmarkEnd w:id="66"/>
      <w:bookmarkEnd w:id="67"/>
      <w:bookmarkEnd w:id="68"/>
      <w:bookmarkEnd w:id="69"/>
      <w:bookmarkEnd w:id="70"/>
    </w:p>
    <w:p w14:paraId="64E181E3">
      <w:pPr>
        <w:spacing w:before="156" w:after="156"/>
        <w:ind w:firstLine="480"/>
        <w:jc w:val="left"/>
        <w:rPr>
          <w:rFonts w:hint="eastAsia" w:ascii="宋体" w:hAnsi="宋体" w:cs="宋体"/>
        </w:rPr>
      </w:pPr>
      <w:r>
        <w:rPr>
          <w:rFonts w:hint="eastAsia" w:ascii="宋体" w:hAnsi="宋体" w:cs="宋体"/>
          <w:color w:val="FF0000"/>
        </w:rPr>
        <w:t>★</w:t>
      </w:r>
      <w:r>
        <w:rPr>
          <w:rFonts w:hint="eastAsia" w:ascii="宋体" w:hAnsi="宋体" w:cs="宋体"/>
          <w:color w:val="303030"/>
        </w:rPr>
        <w:t>第1步：</w:t>
      </w:r>
      <w:r>
        <w:rPr>
          <w:rFonts w:hint="eastAsia" w:ascii="宋体" w:hAnsi="宋体" w:cs="宋体"/>
        </w:rPr>
        <w:t>点击左侧菜单进入“消息管理”—“站内信”。可以进行站内信的查阅与发送。</w:t>
      </w:r>
    </w:p>
    <w:p w14:paraId="52E124B0">
      <w:pPr>
        <w:spacing w:before="156" w:after="156"/>
        <w:jc w:val="left"/>
        <w:rPr>
          <w:rFonts w:ascii="宋体" w:hAnsi="宋体" w:cs="宋体"/>
        </w:rPr>
      </w:pPr>
      <w:r>
        <w:rPr>
          <w:rFonts w:ascii="宋体" w:hAnsi="宋体" w:cs="宋体"/>
        </w:rPr>
        <w:drawing>
          <wp:inline distT="0" distB="0" distL="114300" distR="114300">
            <wp:extent cx="5253990" cy="1426845"/>
            <wp:effectExtent l="0" t="0" r="3810" b="1905"/>
            <wp:docPr id="153794363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943632" name="图片 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F795C">
      <w:pPr>
        <w:pStyle w:val="3"/>
        <w:rPr>
          <w:sz w:val="28"/>
          <w:szCs w:val="28"/>
        </w:rPr>
      </w:pPr>
      <w:bookmarkStart w:id="71" w:name="_Toc23918"/>
      <w:bookmarkStart w:id="72" w:name="_Toc636040274_WPSOffice_Level3"/>
      <w:bookmarkStart w:id="73" w:name="_Toc7002"/>
      <w:bookmarkStart w:id="74" w:name="_Toc20568"/>
      <w:bookmarkStart w:id="75" w:name="_Toc12655"/>
      <w:bookmarkStart w:id="76" w:name="_Toc14049"/>
      <w:bookmarkStart w:id="77" w:name="_Toc6568"/>
      <w:r>
        <w:rPr>
          <w:rFonts w:hint="eastAsia"/>
          <w:sz w:val="28"/>
          <w:szCs w:val="28"/>
        </w:rPr>
        <w:t>2、公告管理</w:t>
      </w:r>
      <w:bookmarkEnd w:id="71"/>
      <w:bookmarkEnd w:id="72"/>
      <w:bookmarkEnd w:id="73"/>
      <w:bookmarkEnd w:id="74"/>
      <w:bookmarkEnd w:id="75"/>
      <w:bookmarkEnd w:id="76"/>
      <w:bookmarkEnd w:id="77"/>
    </w:p>
    <w:p w14:paraId="7946FCE7">
      <w:pPr>
        <w:spacing w:before="120" w:after="120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  <w:color w:val="FF0000"/>
        </w:rPr>
        <w:t>★</w:t>
      </w:r>
      <w:r>
        <w:rPr>
          <w:rFonts w:hint="eastAsia" w:ascii="宋体" w:hAnsi="宋体" w:cs="宋体"/>
          <w:color w:val="303030"/>
        </w:rPr>
        <w:t>第1步：</w:t>
      </w:r>
      <w:r>
        <w:rPr>
          <w:rFonts w:hint="eastAsia" w:ascii="宋体" w:hAnsi="宋体" w:cs="宋体"/>
        </w:rPr>
        <w:t>点击左侧菜单进入“消息管理”—“公告管理”。可以查看学校学院发布公告内容。</w:t>
      </w:r>
    </w:p>
    <w:p w14:paraId="240203F1">
      <w:r>
        <w:rPr>
          <w:rFonts w:ascii="宋体" w:hAnsi="宋体" w:cs="宋体"/>
        </w:rPr>
        <w:drawing>
          <wp:inline distT="0" distB="0" distL="114300" distR="114300">
            <wp:extent cx="5262245" cy="2000885"/>
            <wp:effectExtent l="0" t="0" r="14605" b="18415"/>
            <wp:docPr id="2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ACB23"/>
    <w:p w14:paraId="5E868F58">
      <w:pPr>
        <w:pStyle w:val="2"/>
        <w:numPr>
          <w:ilvl w:val="0"/>
          <w:numId w:val="1"/>
        </w:numPr>
        <w:spacing w:before="0" w:after="0" w:line="360" w:lineRule="auto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bookmarkStart w:id="78" w:name="_Toc30376"/>
      <w:bookmarkStart w:id="79" w:name="_Toc6973"/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>常见问题</w:t>
      </w:r>
      <w:bookmarkEnd w:id="78"/>
      <w:bookmarkEnd w:id="79"/>
    </w:p>
    <w:p w14:paraId="0D618779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1、密码忘记了怎么办？</w:t>
      </w:r>
    </w:p>
    <w:p w14:paraId="5333FC65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回复：如果账号完成了邮箱绑定可点击登录页面中的“忘记密码”字样，通过邮箱验证设置新密码，如未完成邮箱绑定可联系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教学秘书</w:t>
      </w:r>
      <w:r>
        <w:rPr>
          <w:rFonts w:hint="eastAsia" w:ascii="宋体" w:hAnsi="宋体" w:cs="宋体"/>
          <w:sz w:val="24"/>
          <w:szCs w:val="24"/>
        </w:rPr>
        <w:t>重置密码，如完成了绑定微信可直接扫码登陆。</w:t>
      </w:r>
    </w:p>
    <w:p w14:paraId="051E9F8E">
      <w:pPr>
        <w:spacing w:line="276" w:lineRule="auto"/>
        <w:rPr>
          <w:rFonts w:ascii="宋体" w:hAnsi="宋体" w:cs="宋体"/>
          <w:sz w:val="24"/>
          <w:szCs w:val="24"/>
        </w:rPr>
      </w:pPr>
    </w:p>
    <w:p w14:paraId="03A0964E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2、系统提示“用户不存在”是什么意思？</w:t>
      </w:r>
    </w:p>
    <w:p w14:paraId="062E6DDC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回复：一般是因为输入的用户名错误或您的账户信息没有录入到系统当中，您需要与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教学秘书</w:t>
      </w:r>
      <w:r>
        <w:rPr>
          <w:rFonts w:hint="eastAsia" w:ascii="宋体" w:hAnsi="宋体" w:cs="宋体"/>
          <w:sz w:val="24"/>
          <w:szCs w:val="24"/>
        </w:rPr>
        <w:t>联系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</w:rPr>
        <w:t>帮您查询或新增账号信息。（操作方式：在“账号管理”中，可以进行账号信息的查询、修改与新增。）</w:t>
      </w:r>
    </w:p>
    <w:p w14:paraId="489F6643">
      <w:pPr>
        <w:pStyle w:val="23"/>
        <w:spacing w:line="276" w:lineRule="auto"/>
        <w:ind w:firstLine="0" w:firstLineChars="0"/>
        <w:rPr>
          <w:rFonts w:ascii="宋体" w:hAnsi="宋体" w:eastAsia="宋体" w:cs="宋体"/>
          <w:sz w:val="24"/>
          <w:szCs w:val="24"/>
        </w:rPr>
      </w:pPr>
    </w:p>
    <w:p w14:paraId="18BE7FF5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3、审核列表显示无数据是什么情况？</w:t>
      </w:r>
    </w:p>
    <w:p w14:paraId="60825899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回复：这种情况一般是学生还未提交导致的，可查看查询列表内的状态，显示为待提交即为学生还未提交，等待提交后即可进行审核。</w:t>
      </w:r>
    </w:p>
    <w:p w14:paraId="12E7614A">
      <w:pPr>
        <w:pStyle w:val="23"/>
        <w:spacing w:line="276" w:lineRule="auto"/>
        <w:ind w:firstLine="0" w:firstLineChars="0"/>
        <w:rPr>
          <w:rFonts w:ascii="宋体" w:hAnsi="宋体" w:eastAsia="宋体" w:cs="宋体"/>
          <w:sz w:val="24"/>
          <w:szCs w:val="24"/>
        </w:rPr>
      </w:pPr>
    </w:p>
    <w:p w14:paraId="1DAA9BEE">
      <w:pPr>
        <w:spacing w:line="276" w:lineRule="auto"/>
        <w:rPr>
          <w:rFonts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4、如何知道目前自己是否需要进行系统操作并快捷处理待处理的事项？</w:t>
      </w:r>
    </w:p>
    <w:p w14:paraId="6A3C9D0A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回复：点击首页，在</w:t>
      </w:r>
      <w:r>
        <w:rPr>
          <w:rFonts w:hint="eastAsia" w:ascii="宋体" w:hAnsi="宋体" w:cs="宋体"/>
          <w:color w:val="303030"/>
          <w:sz w:val="24"/>
          <w:szCs w:val="24"/>
        </w:rPr>
        <w:t>下方有流程引导及待办事项模块，可查看所有流程的操作节点并可快捷跳转到需要操作的对应列表内，</w:t>
      </w:r>
      <w:r>
        <w:rPr>
          <w:rFonts w:hint="eastAsia" w:ascii="宋体" w:hAnsi="宋体" w:cs="宋体"/>
          <w:sz w:val="24"/>
          <w:szCs w:val="24"/>
        </w:rPr>
        <w:t>当操作节点背景为黄色时表示目前需要处理，可点击该操作节点直接跳转到对应操作列表内进行操作。</w:t>
      </w:r>
    </w:p>
    <w:p w14:paraId="226C79C2">
      <w:pPr>
        <w:spacing w:line="276" w:lineRule="auto"/>
        <w:rPr>
          <w:rFonts w:ascii="宋体" w:hAnsi="宋体" w:cs="宋体"/>
          <w:sz w:val="24"/>
          <w:szCs w:val="24"/>
        </w:rPr>
      </w:pPr>
    </w:p>
    <w:p w14:paraId="1360895D">
      <w:pPr>
        <w:spacing w:line="276" w:lineRule="auto"/>
        <w:rPr>
          <w:rFonts w:ascii="宋体" w:hAnsi="宋体" w:cs="宋体"/>
          <w:color w:val="303030"/>
          <w:sz w:val="24"/>
          <w:szCs w:val="24"/>
        </w:rPr>
      </w:pPr>
      <w:r>
        <w:rPr>
          <w:rFonts w:hint="eastAsia" w:ascii="宋体" w:hAnsi="宋体" w:cs="宋体"/>
          <w:b/>
          <w:bCs/>
          <w:color w:val="303030"/>
          <w:sz w:val="24"/>
          <w:szCs w:val="24"/>
        </w:rPr>
        <w:t>5、</w:t>
      </w:r>
      <w:r>
        <w:rPr>
          <w:rFonts w:hint="eastAsia" w:ascii="宋体" w:hAnsi="宋体" w:cs="宋体"/>
          <w:color w:val="303030"/>
          <w:sz w:val="24"/>
          <w:szCs w:val="24"/>
        </w:rPr>
        <w:t>如已操作过的流程需重新编辑应如何处理？</w:t>
      </w:r>
    </w:p>
    <w:p w14:paraId="79CBDFA3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color w:val="303030"/>
          <w:sz w:val="24"/>
          <w:szCs w:val="24"/>
        </w:rPr>
        <w:t>回复：当已操作完成了相关的流程，后面需重新编辑的情况可联系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教学秘书</w:t>
      </w:r>
      <w:r>
        <w:rPr>
          <w:rFonts w:hint="eastAsia" w:ascii="宋体" w:hAnsi="宋体" w:cs="宋体"/>
          <w:color w:val="303030"/>
          <w:sz w:val="24"/>
          <w:szCs w:val="24"/>
        </w:rPr>
        <w:t>将流程进行流转回重新提交的状态下</w:t>
      </w:r>
      <w:r>
        <w:rPr>
          <w:rFonts w:hint="eastAsia" w:ascii="宋体" w:hAnsi="宋体" w:cs="宋体"/>
          <w:sz w:val="24"/>
          <w:szCs w:val="24"/>
        </w:rPr>
        <w:t>（操作方式：在每个流程的查询列表中，点击流转到按钮可选择流转回重新提交、审核状态。）</w:t>
      </w:r>
    </w:p>
    <w:p w14:paraId="2EFD7169">
      <w:pPr>
        <w:spacing w:line="276" w:lineRule="auto"/>
        <w:rPr>
          <w:rFonts w:ascii="宋体" w:hAnsi="宋体" w:cs="宋体"/>
          <w:sz w:val="24"/>
          <w:szCs w:val="24"/>
        </w:rPr>
      </w:pPr>
    </w:p>
    <w:p w14:paraId="48185D01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6、如登陆时点击登陆按钮没反应，或者在提交时点击提交按钮没反应如何处理？</w:t>
      </w:r>
    </w:p>
    <w:p w14:paraId="4EF7AD4B">
      <w:pPr>
        <w:spacing w:line="276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回复：此情况属于浏览器问题，请按住Ctrl+Shift+Delete清理浏览器缓存，再刷新该页面重新登录，或者换个浏览器，不使用Safari、ie和360兼容模式</w:t>
      </w:r>
    </w:p>
    <w:p w14:paraId="36219933">
      <w:pPr>
        <w:pStyle w:val="2"/>
        <w:numPr>
          <w:ilvl w:val="0"/>
          <w:numId w:val="0"/>
        </w:numPr>
        <w:spacing w:before="0" w:after="0" w:line="360" w:lineRule="auto"/>
        <w:ind w:left="142" w:leftChars="0"/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</w:pPr>
      <w:r>
        <w:rPr>
          <w:rFonts w:hint="eastAsia" w:ascii="仿宋_GB2312" w:eastAsia="仿宋_GB2312"/>
          <w:b/>
          <w:bCs w:val="0"/>
          <w:sz w:val="28"/>
          <w:szCs w:val="16"/>
          <w:lang w:val="en-US" w:eastAsia="zh-CN"/>
        </w:rPr>
        <w:t xml:space="preserve"> </w:t>
      </w:r>
    </w:p>
    <w:p w14:paraId="216EDB27"/>
    <w:p w14:paraId="4341233A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6B1BD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7F096A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XNsgtAgAAVgQAAA4AAABkcnMvZTJvRG9jLnhtbK1UzY7TMBC+I/EO&#10;lu80aVcs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NMXNsgtAgAAVg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7F096A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D1306">
    <w:pPr>
      <w:pStyle w:val="8"/>
      <w:keepNext w:val="0"/>
      <w:keepLines w:val="0"/>
      <w:pageBreakBefore w:val="0"/>
      <w:widowControl w:val="0"/>
      <w:pBdr>
        <w:bottom w:val="thinThickMediumGap" w:color="auto" w:sz="18" w:space="1"/>
      </w:pBdr>
      <w:kinsoku/>
      <w:wordWrap/>
      <w:overflowPunct/>
      <w:topLinePunct w:val="0"/>
      <w:bidi w:val="0"/>
      <w:adjustRightInd/>
      <w:snapToGrid w:val="0"/>
      <w:jc w:val="left"/>
      <w:textAlignment w:val="auto"/>
      <w:rPr>
        <w:rFonts w:hint="default" w:eastAsia="宋体"/>
        <w:lang w:val="en-US" w:eastAsia="zh-CN"/>
      </w:rPr>
    </w:pPr>
    <w:r>
      <w:rPr>
        <w:rFonts w:ascii="宋体" w:hAnsi="宋体"/>
        <w:b/>
        <w:sz w:val="56"/>
        <w:szCs w:val="52"/>
      </w:rPr>
      <w:drawing>
        <wp:inline distT="0" distB="0" distL="114300" distR="114300">
          <wp:extent cx="1057910" cy="446405"/>
          <wp:effectExtent l="15875" t="15875" r="88265" b="71120"/>
          <wp:docPr id="2" name="图片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7910" cy="44640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>
                    <a:outerShdw blurRad="50800" dist="38100" dir="2700000" algn="tl" rotWithShape="0">
                      <a:prstClr val="black">
                        <a:alpha val="40000"/>
                      </a:prstClr>
                    </a:outerShdw>
                  </a:effectLst>
                </pic:spPr>
              </pic:pic>
            </a:graphicData>
          </a:graphic>
        </wp:inline>
      </w:drawing>
    </w:r>
    <w:r>
      <w:rPr>
        <w:rFonts w:hint="eastAsia" w:ascii="宋体" w:hAnsi="宋体"/>
        <w:b/>
        <w:sz w:val="56"/>
        <w:szCs w:val="52"/>
        <w:lang w:val="en-US" w:eastAsia="zh-CN"/>
      </w:rPr>
      <w:t xml:space="preserve">  </w:t>
    </w:r>
    <w:r>
      <w:rPr>
        <w:rFonts w:hint="eastAsia" w:ascii="黑体" w:hAnsi="黑体" w:eastAsia="黑体" w:cs="黑体"/>
        <w:sz w:val="21"/>
        <w:szCs w:val="21"/>
        <w:lang w:val="en-US" w:eastAsia="zh-CN"/>
      </w:rPr>
      <w:t>维普毕业论文（设计）管理系统-</w:t>
    </w:r>
    <w:r>
      <w:rPr>
        <w:rFonts w:ascii="黑体" w:hAnsi="黑体" w:eastAsia="黑体" w:cs="黑体"/>
        <w:sz w:val="21"/>
        <w:u w:color="auto"/>
      </w:rPr>
      <w:t xml:space="preserve">学生操作手册   </w:t>
    </w:r>
    <w:r>
      <w:rPr>
        <w:rFonts w:hint="eastAsia"/>
        <w:lang w:val="en-US" w:eastAsia="zh-CN"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F9679D"/>
    <w:multiLevelType w:val="multilevel"/>
    <w:tmpl w:val="31F9679D"/>
    <w:lvl w:ilvl="0" w:tentative="0">
      <w:start w:val="1"/>
      <w:numFmt w:val="japaneseCounting"/>
      <w:lvlText w:val="%1、"/>
      <w:lvlJc w:val="left"/>
      <w:pPr>
        <w:ind w:left="1042" w:hanging="9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lZDc4M2JiODQzN2M3YWE2Y2FlYjM3ODI1OWQ5NjkifQ=="/>
  </w:docVars>
  <w:rsids>
    <w:rsidRoot w:val="5FE02B0A"/>
    <w:rsid w:val="00023261"/>
    <w:rsid w:val="000304D9"/>
    <w:rsid w:val="00041EC8"/>
    <w:rsid w:val="0004525E"/>
    <w:rsid w:val="00080EEA"/>
    <w:rsid w:val="000A2742"/>
    <w:rsid w:val="000D3AC7"/>
    <w:rsid w:val="00110281"/>
    <w:rsid w:val="0012640F"/>
    <w:rsid w:val="00134937"/>
    <w:rsid w:val="00164D25"/>
    <w:rsid w:val="00187198"/>
    <w:rsid w:val="001B13DD"/>
    <w:rsid w:val="001B2917"/>
    <w:rsid w:val="00215B72"/>
    <w:rsid w:val="00216D1F"/>
    <w:rsid w:val="00290F07"/>
    <w:rsid w:val="002C6CC8"/>
    <w:rsid w:val="002D20B5"/>
    <w:rsid w:val="002D3640"/>
    <w:rsid w:val="002E6342"/>
    <w:rsid w:val="002F0FB6"/>
    <w:rsid w:val="00321CED"/>
    <w:rsid w:val="00376A1B"/>
    <w:rsid w:val="00383167"/>
    <w:rsid w:val="00390E82"/>
    <w:rsid w:val="003C62A3"/>
    <w:rsid w:val="003D22B5"/>
    <w:rsid w:val="003D4710"/>
    <w:rsid w:val="003D705D"/>
    <w:rsid w:val="003F0796"/>
    <w:rsid w:val="003F75CF"/>
    <w:rsid w:val="0041323F"/>
    <w:rsid w:val="00441424"/>
    <w:rsid w:val="00441C9E"/>
    <w:rsid w:val="00454505"/>
    <w:rsid w:val="00486E97"/>
    <w:rsid w:val="00491A15"/>
    <w:rsid w:val="004952BE"/>
    <w:rsid w:val="004A24DF"/>
    <w:rsid w:val="004A42BE"/>
    <w:rsid w:val="004C5D4B"/>
    <w:rsid w:val="004D3A02"/>
    <w:rsid w:val="004D76B3"/>
    <w:rsid w:val="004E2611"/>
    <w:rsid w:val="004E639E"/>
    <w:rsid w:val="0050291F"/>
    <w:rsid w:val="00511ACF"/>
    <w:rsid w:val="005305D3"/>
    <w:rsid w:val="005501DF"/>
    <w:rsid w:val="00590BBF"/>
    <w:rsid w:val="005B35C4"/>
    <w:rsid w:val="005D3A65"/>
    <w:rsid w:val="005D7489"/>
    <w:rsid w:val="0066524E"/>
    <w:rsid w:val="00682F60"/>
    <w:rsid w:val="006842BB"/>
    <w:rsid w:val="0068767B"/>
    <w:rsid w:val="006F7953"/>
    <w:rsid w:val="00706E2C"/>
    <w:rsid w:val="00716B0A"/>
    <w:rsid w:val="007569B5"/>
    <w:rsid w:val="00762975"/>
    <w:rsid w:val="007751E2"/>
    <w:rsid w:val="00783B6A"/>
    <w:rsid w:val="00795459"/>
    <w:rsid w:val="007A3406"/>
    <w:rsid w:val="007A6906"/>
    <w:rsid w:val="008176BE"/>
    <w:rsid w:val="00832765"/>
    <w:rsid w:val="008352FC"/>
    <w:rsid w:val="0083608A"/>
    <w:rsid w:val="00857F26"/>
    <w:rsid w:val="008747B4"/>
    <w:rsid w:val="00896AD7"/>
    <w:rsid w:val="008B4D48"/>
    <w:rsid w:val="008C3852"/>
    <w:rsid w:val="008E0D78"/>
    <w:rsid w:val="008E7CD3"/>
    <w:rsid w:val="00906D40"/>
    <w:rsid w:val="00926973"/>
    <w:rsid w:val="00935E69"/>
    <w:rsid w:val="00962DD5"/>
    <w:rsid w:val="009666BC"/>
    <w:rsid w:val="00974BBE"/>
    <w:rsid w:val="009D4674"/>
    <w:rsid w:val="009D67F0"/>
    <w:rsid w:val="00A00EAF"/>
    <w:rsid w:val="00A77943"/>
    <w:rsid w:val="00A830CE"/>
    <w:rsid w:val="00A87F74"/>
    <w:rsid w:val="00AA4694"/>
    <w:rsid w:val="00AB3833"/>
    <w:rsid w:val="00AF1DED"/>
    <w:rsid w:val="00B55CCB"/>
    <w:rsid w:val="00B85A72"/>
    <w:rsid w:val="00C52741"/>
    <w:rsid w:val="00CA1238"/>
    <w:rsid w:val="00CB31A7"/>
    <w:rsid w:val="00CD7635"/>
    <w:rsid w:val="00CF2C04"/>
    <w:rsid w:val="00D52373"/>
    <w:rsid w:val="00D6218C"/>
    <w:rsid w:val="00D76EEB"/>
    <w:rsid w:val="00D804E6"/>
    <w:rsid w:val="00D9685B"/>
    <w:rsid w:val="00DC5E6F"/>
    <w:rsid w:val="00DC7FD4"/>
    <w:rsid w:val="00DD481A"/>
    <w:rsid w:val="00E00EA0"/>
    <w:rsid w:val="00E711C9"/>
    <w:rsid w:val="00E86084"/>
    <w:rsid w:val="00EC5FD3"/>
    <w:rsid w:val="00EE7696"/>
    <w:rsid w:val="00F1464A"/>
    <w:rsid w:val="00F62B24"/>
    <w:rsid w:val="00FA1A34"/>
    <w:rsid w:val="00FC2DEB"/>
    <w:rsid w:val="00FF22CE"/>
    <w:rsid w:val="017E0CD4"/>
    <w:rsid w:val="01910A08"/>
    <w:rsid w:val="01973B44"/>
    <w:rsid w:val="01A3073B"/>
    <w:rsid w:val="01AE15BA"/>
    <w:rsid w:val="01AF179F"/>
    <w:rsid w:val="01D32DCE"/>
    <w:rsid w:val="01FD609D"/>
    <w:rsid w:val="02182ED7"/>
    <w:rsid w:val="023C4E17"/>
    <w:rsid w:val="023F2212"/>
    <w:rsid w:val="024141DC"/>
    <w:rsid w:val="02427F54"/>
    <w:rsid w:val="02612B5C"/>
    <w:rsid w:val="02631873"/>
    <w:rsid w:val="02B20C36"/>
    <w:rsid w:val="02E42DB9"/>
    <w:rsid w:val="033E696D"/>
    <w:rsid w:val="034D095E"/>
    <w:rsid w:val="0361440A"/>
    <w:rsid w:val="03B60BF9"/>
    <w:rsid w:val="03C274DB"/>
    <w:rsid w:val="03F82FC0"/>
    <w:rsid w:val="042F62B6"/>
    <w:rsid w:val="044B7594"/>
    <w:rsid w:val="044C6E68"/>
    <w:rsid w:val="047C599F"/>
    <w:rsid w:val="047F0FEB"/>
    <w:rsid w:val="052A53FB"/>
    <w:rsid w:val="05452235"/>
    <w:rsid w:val="05544226"/>
    <w:rsid w:val="06087AF2"/>
    <w:rsid w:val="061B11E8"/>
    <w:rsid w:val="062E0F1B"/>
    <w:rsid w:val="06654211"/>
    <w:rsid w:val="067B1C86"/>
    <w:rsid w:val="06B6300F"/>
    <w:rsid w:val="06BA4485"/>
    <w:rsid w:val="06DE46EF"/>
    <w:rsid w:val="06FC2DC7"/>
    <w:rsid w:val="074A1D85"/>
    <w:rsid w:val="078132CC"/>
    <w:rsid w:val="07866B35"/>
    <w:rsid w:val="07B7538F"/>
    <w:rsid w:val="07D21D7A"/>
    <w:rsid w:val="07FB6BDB"/>
    <w:rsid w:val="08060514"/>
    <w:rsid w:val="08381BDD"/>
    <w:rsid w:val="08624EAC"/>
    <w:rsid w:val="087B5F6E"/>
    <w:rsid w:val="088A7F5F"/>
    <w:rsid w:val="08F875BE"/>
    <w:rsid w:val="091A7535"/>
    <w:rsid w:val="094445B2"/>
    <w:rsid w:val="0969226A"/>
    <w:rsid w:val="09B434E5"/>
    <w:rsid w:val="09B72FD5"/>
    <w:rsid w:val="09DC2A3C"/>
    <w:rsid w:val="09F528BA"/>
    <w:rsid w:val="0A310FDA"/>
    <w:rsid w:val="0A9652E1"/>
    <w:rsid w:val="0AC0235E"/>
    <w:rsid w:val="0B7C44D7"/>
    <w:rsid w:val="0BAE21B6"/>
    <w:rsid w:val="0BF16C73"/>
    <w:rsid w:val="0C2B68DC"/>
    <w:rsid w:val="0C825B1D"/>
    <w:rsid w:val="0CDB347F"/>
    <w:rsid w:val="0CE045F1"/>
    <w:rsid w:val="0D240982"/>
    <w:rsid w:val="0D9F26FE"/>
    <w:rsid w:val="0DB241E0"/>
    <w:rsid w:val="0DE14AC5"/>
    <w:rsid w:val="0DFE5677"/>
    <w:rsid w:val="0E0B1B42"/>
    <w:rsid w:val="0EC817E1"/>
    <w:rsid w:val="0EE20AF5"/>
    <w:rsid w:val="0F052A35"/>
    <w:rsid w:val="0F307AB2"/>
    <w:rsid w:val="0F3D21CF"/>
    <w:rsid w:val="0F5D461F"/>
    <w:rsid w:val="0FE16FFE"/>
    <w:rsid w:val="1002449F"/>
    <w:rsid w:val="108C5BB3"/>
    <w:rsid w:val="10B93AD7"/>
    <w:rsid w:val="10BD35C7"/>
    <w:rsid w:val="10F13271"/>
    <w:rsid w:val="11000BEA"/>
    <w:rsid w:val="11186A50"/>
    <w:rsid w:val="11203B56"/>
    <w:rsid w:val="11252F1A"/>
    <w:rsid w:val="112E0021"/>
    <w:rsid w:val="11951E4E"/>
    <w:rsid w:val="11BD75F7"/>
    <w:rsid w:val="11E44B84"/>
    <w:rsid w:val="11EE1718"/>
    <w:rsid w:val="12323B41"/>
    <w:rsid w:val="12661A3D"/>
    <w:rsid w:val="12802AFE"/>
    <w:rsid w:val="13225964"/>
    <w:rsid w:val="13B30CB1"/>
    <w:rsid w:val="13B62550"/>
    <w:rsid w:val="13C7650B"/>
    <w:rsid w:val="13E26EA1"/>
    <w:rsid w:val="14643D5A"/>
    <w:rsid w:val="14C173FE"/>
    <w:rsid w:val="14C50C9C"/>
    <w:rsid w:val="14C64A14"/>
    <w:rsid w:val="151D2886"/>
    <w:rsid w:val="156365B8"/>
    <w:rsid w:val="15B12FCF"/>
    <w:rsid w:val="15C56A7A"/>
    <w:rsid w:val="15FA0CD7"/>
    <w:rsid w:val="169C3C7F"/>
    <w:rsid w:val="169F551D"/>
    <w:rsid w:val="16A11295"/>
    <w:rsid w:val="16F5338F"/>
    <w:rsid w:val="17544559"/>
    <w:rsid w:val="177C13BA"/>
    <w:rsid w:val="17F81389"/>
    <w:rsid w:val="17FF6273"/>
    <w:rsid w:val="18407477"/>
    <w:rsid w:val="18583BD5"/>
    <w:rsid w:val="186D58D3"/>
    <w:rsid w:val="18834126"/>
    <w:rsid w:val="189F1804"/>
    <w:rsid w:val="18A24E51"/>
    <w:rsid w:val="18D314AE"/>
    <w:rsid w:val="18F002B2"/>
    <w:rsid w:val="18FA2EDF"/>
    <w:rsid w:val="19063631"/>
    <w:rsid w:val="191A70DD"/>
    <w:rsid w:val="193957B5"/>
    <w:rsid w:val="193E726F"/>
    <w:rsid w:val="19614D0C"/>
    <w:rsid w:val="19A277FE"/>
    <w:rsid w:val="19B117EF"/>
    <w:rsid w:val="19B337B9"/>
    <w:rsid w:val="19C332D1"/>
    <w:rsid w:val="19C534ED"/>
    <w:rsid w:val="19C77265"/>
    <w:rsid w:val="19F31E08"/>
    <w:rsid w:val="1A6745A4"/>
    <w:rsid w:val="1AAE21D3"/>
    <w:rsid w:val="1AD27C6F"/>
    <w:rsid w:val="1ADA6B24"/>
    <w:rsid w:val="1AF5395E"/>
    <w:rsid w:val="1AFA71C6"/>
    <w:rsid w:val="1B252495"/>
    <w:rsid w:val="1B373F76"/>
    <w:rsid w:val="1B395F40"/>
    <w:rsid w:val="1BAA0BEC"/>
    <w:rsid w:val="1BC25F36"/>
    <w:rsid w:val="1BE22134"/>
    <w:rsid w:val="1C0227D6"/>
    <w:rsid w:val="1C69015F"/>
    <w:rsid w:val="1CD6156D"/>
    <w:rsid w:val="1DAA45A0"/>
    <w:rsid w:val="1E032835"/>
    <w:rsid w:val="1E114F52"/>
    <w:rsid w:val="1E2527AC"/>
    <w:rsid w:val="1E8F5E77"/>
    <w:rsid w:val="1EB63404"/>
    <w:rsid w:val="1EBB4EBE"/>
    <w:rsid w:val="1ECB5101"/>
    <w:rsid w:val="1F0D0F2A"/>
    <w:rsid w:val="1F29296D"/>
    <w:rsid w:val="1F3FCB7B"/>
    <w:rsid w:val="1F69491A"/>
    <w:rsid w:val="1FC009DE"/>
    <w:rsid w:val="1FE3647B"/>
    <w:rsid w:val="20112FE8"/>
    <w:rsid w:val="20337402"/>
    <w:rsid w:val="20384A18"/>
    <w:rsid w:val="20517888"/>
    <w:rsid w:val="20AC0F62"/>
    <w:rsid w:val="20BE47F2"/>
    <w:rsid w:val="21350F58"/>
    <w:rsid w:val="21731A80"/>
    <w:rsid w:val="21B55BF5"/>
    <w:rsid w:val="21C83B7A"/>
    <w:rsid w:val="2268710B"/>
    <w:rsid w:val="228A7081"/>
    <w:rsid w:val="22BA3F45"/>
    <w:rsid w:val="22CA1B74"/>
    <w:rsid w:val="22D64075"/>
    <w:rsid w:val="22E91FFA"/>
    <w:rsid w:val="235C0A1E"/>
    <w:rsid w:val="236B6EB3"/>
    <w:rsid w:val="23AD1279"/>
    <w:rsid w:val="23B95E70"/>
    <w:rsid w:val="24480FA2"/>
    <w:rsid w:val="2452748C"/>
    <w:rsid w:val="245A2A83"/>
    <w:rsid w:val="246851A0"/>
    <w:rsid w:val="249146F7"/>
    <w:rsid w:val="249917FE"/>
    <w:rsid w:val="24DB0068"/>
    <w:rsid w:val="25302162"/>
    <w:rsid w:val="253357AE"/>
    <w:rsid w:val="258949F8"/>
    <w:rsid w:val="25D80104"/>
    <w:rsid w:val="2628108B"/>
    <w:rsid w:val="26712A32"/>
    <w:rsid w:val="267C13D7"/>
    <w:rsid w:val="26C1503C"/>
    <w:rsid w:val="26F92A28"/>
    <w:rsid w:val="26FE1DEC"/>
    <w:rsid w:val="272F1FA5"/>
    <w:rsid w:val="275F6D2E"/>
    <w:rsid w:val="277125BE"/>
    <w:rsid w:val="279664C8"/>
    <w:rsid w:val="27BF157B"/>
    <w:rsid w:val="27D33279"/>
    <w:rsid w:val="27ED6B9C"/>
    <w:rsid w:val="27F51441"/>
    <w:rsid w:val="28304227"/>
    <w:rsid w:val="283755B5"/>
    <w:rsid w:val="2858591E"/>
    <w:rsid w:val="288400CF"/>
    <w:rsid w:val="28A569C3"/>
    <w:rsid w:val="28CD7CC8"/>
    <w:rsid w:val="28EA087A"/>
    <w:rsid w:val="290F6532"/>
    <w:rsid w:val="291678C1"/>
    <w:rsid w:val="29345F99"/>
    <w:rsid w:val="29543F45"/>
    <w:rsid w:val="296A3769"/>
    <w:rsid w:val="299F1664"/>
    <w:rsid w:val="29E03A2B"/>
    <w:rsid w:val="2A102562"/>
    <w:rsid w:val="2AA64C74"/>
    <w:rsid w:val="2AB56C65"/>
    <w:rsid w:val="2AEB3C5A"/>
    <w:rsid w:val="2AEC6B2B"/>
    <w:rsid w:val="2B011EAB"/>
    <w:rsid w:val="2B193698"/>
    <w:rsid w:val="2B536BAA"/>
    <w:rsid w:val="2B6366C1"/>
    <w:rsid w:val="2B876854"/>
    <w:rsid w:val="2C3562B0"/>
    <w:rsid w:val="2C633EB8"/>
    <w:rsid w:val="2C673F8F"/>
    <w:rsid w:val="2C7E7C57"/>
    <w:rsid w:val="2C851E0F"/>
    <w:rsid w:val="2C932FD6"/>
    <w:rsid w:val="2CCF04B2"/>
    <w:rsid w:val="2D1E0AF2"/>
    <w:rsid w:val="2D256324"/>
    <w:rsid w:val="2D285E15"/>
    <w:rsid w:val="2D652BC5"/>
    <w:rsid w:val="2D9139BA"/>
    <w:rsid w:val="2D9D410D"/>
    <w:rsid w:val="2E1122DB"/>
    <w:rsid w:val="2E3507E9"/>
    <w:rsid w:val="2E47405C"/>
    <w:rsid w:val="2E5D389C"/>
    <w:rsid w:val="2E692241"/>
    <w:rsid w:val="2EB21E3A"/>
    <w:rsid w:val="2EBD433B"/>
    <w:rsid w:val="2F300FB0"/>
    <w:rsid w:val="2F3C7955"/>
    <w:rsid w:val="2F522CD5"/>
    <w:rsid w:val="2F7B66D0"/>
    <w:rsid w:val="2F837A4C"/>
    <w:rsid w:val="2F9A71B5"/>
    <w:rsid w:val="2FDD2EE6"/>
    <w:rsid w:val="2FEF2C1A"/>
    <w:rsid w:val="30406FD1"/>
    <w:rsid w:val="304312C5"/>
    <w:rsid w:val="30C95219"/>
    <w:rsid w:val="30E81B43"/>
    <w:rsid w:val="3135465C"/>
    <w:rsid w:val="313A6116"/>
    <w:rsid w:val="3148438F"/>
    <w:rsid w:val="314E571E"/>
    <w:rsid w:val="31701B38"/>
    <w:rsid w:val="31C003CA"/>
    <w:rsid w:val="320E7B77"/>
    <w:rsid w:val="325F4087"/>
    <w:rsid w:val="32713DBA"/>
    <w:rsid w:val="332B5D17"/>
    <w:rsid w:val="33977850"/>
    <w:rsid w:val="33D740F0"/>
    <w:rsid w:val="342842DC"/>
    <w:rsid w:val="342E1F62"/>
    <w:rsid w:val="344829C9"/>
    <w:rsid w:val="34790D04"/>
    <w:rsid w:val="34AE30A3"/>
    <w:rsid w:val="350E769E"/>
    <w:rsid w:val="353669C0"/>
    <w:rsid w:val="3550415A"/>
    <w:rsid w:val="358D2CB9"/>
    <w:rsid w:val="35E548A3"/>
    <w:rsid w:val="35EB79DF"/>
    <w:rsid w:val="35F25212"/>
    <w:rsid w:val="35F92264"/>
    <w:rsid w:val="36317AE8"/>
    <w:rsid w:val="363B0967"/>
    <w:rsid w:val="36996E83"/>
    <w:rsid w:val="36D36DF1"/>
    <w:rsid w:val="36F34D9D"/>
    <w:rsid w:val="36FFEFA4"/>
    <w:rsid w:val="37427AD3"/>
    <w:rsid w:val="379C3687"/>
    <w:rsid w:val="38194CD8"/>
    <w:rsid w:val="388C36FB"/>
    <w:rsid w:val="38B60778"/>
    <w:rsid w:val="38BF587F"/>
    <w:rsid w:val="38CC3AF8"/>
    <w:rsid w:val="38FB262F"/>
    <w:rsid w:val="3902576C"/>
    <w:rsid w:val="391D07F7"/>
    <w:rsid w:val="39203E44"/>
    <w:rsid w:val="39534219"/>
    <w:rsid w:val="39663F4D"/>
    <w:rsid w:val="39C46EC5"/>
    <w:rsid w:val="39E11825"/>
    <w:rsid w:val="39FF0CD8"/>
    <w:rsid w:val="3A175247"/>
    <w:rsid w:val="3A2D05C6"/>
    <w:rsid w:val="3A2F07E2"/>
    <w:rsid w:val="3A3000B7"/>
    <w:rsid w:val="3A63223A"/>
    <w:rsid w:val="3A8328DC"/>
    <w:rsid w:val="3A856654"/>
    <w:rsid w:val="3A9C574C"/>
    <w:rsid w:val="3A9E3272"/>
    <w:rsid w:val="3AD76784"/>
    <w:rsid w:val="3ADE5D64"/>
    <w:rsid w:val="3AEA295B"/>
    <w:rsid w:val="3B457B92"/>
    <w:rsid w:val="3B53405D"/>
    <w:rsid w:val="3BAC5E63"/>
    <w:rsid w:val="3BCC2061"/>
    <w:rsid w:val="3BF82E56"/>
    <w:rsid w:val="3BFF41E4"/>
    <w:rsid w:val="3BFF5F92"/>
    <w:rsid w:val="3C526A0A"/>
    <w:rsid w:val="3C5462DE"/>
    <w:rsid w:val="3C577B7C"/>
    <w:rsid w:val="3C7F70D3"/>
    <w:rsid w:val="3CA1332A"/>
    <w:rsid w:val="3CAA4150"/>
    <w:rsid w:val="3CF63839"/>
    <w:rsid w:val="3D12278C"/>
    <w:rsid w:val="3D136199"/>
    <w:rsid w:val="3D6E1622"/>
    <w:rsid w:val="3D711112"/>
    <w:rsid w:val="3D74475E"/>
    <w:rsid w:val="3D9F527F"/>
    <w:rsid w:val="3DB86D41"/>
    <w:rsid w:val="3DEA7081"/>
    <w:rsid w:val="3E154DA9"/>
    <w:rsid w:val="3E546A69"/>
    <w:rsid w:val="3E7E3AE6"/>
    <w:rsid w:val="3EC3774B"/>
    <w:rsid w:val="3ED23E32"/>
    <w:rsid w:val="3EE01103"/>
    <w:rsid w:val="3EE651E8"/>
    <w:rsid w:val="3FAC0486"/>
    <w:rsid w:val="3FC217B1"/>
    <w:rsid w:val="3FE652DA"/>
    <w:rsid w:val="401C35B7"/>
    <w:rsid w:val="403501D5"/>
    <w:rsid w:val="40BE641C"/>
    <w:rsid w:val="40D07EFD"/>
    <w:rsid w:val="41232723"/>
    <w:rsid w:val="41AA4BF2"/>
    <w:rsid w:val="41B255C8"/>
    <w:rsid w:val="41D41C6F"/>
    <w:rsid w:val="42165DE4"/>
    <w:rsid w:val="426B4382"/>
    <w:rsid w:val="426D634C"/>
    <w:rsid w:val="42755200"/>
    <w:rsid w:val="42A81132"/>
    <w:rsid w:val="42C341BE"/>
    <w:rsid w:val="42D00689"/>
    <w:rsid w:val="43192030"/>
    <w:rsid w:val="431F6F1A"/>
    <w:rsid w:val="43B41D58"/>
    <w:rsid w:val="43B9736F"/>
    <w:rsid w:val="43CA332A"/>
    <w:rsid w:val="440E1469"/>
    <w:rsid w:val="441822E7"/>
    <w:rsid w:val="44185E43"/>
    <w:rsid w:val="442E1B0B"/>
    <w:rsid w:val="444E3F5B"/>
    <w:rsid w:val="4464552C"/>
    <w:rsid w:val="446B68BB"/>
    <w:rsid w:val="44A26055"/>
    <w:rsid w:val="44E272A8"/>
    <w:rsid w:val="44EF3FD1"/>
    <w:rsid w:val="457C0654"/>
    <w:rsid w:val="45B55914"/>
    <w:rsid w:val="45C2075D"/>
    <w:rsid w:val="464473C4"/>
    <w:rsid w:val="469D2F78"/>
    <w:rsid w:val="46DA1AD6"/>
    <w:rsid w:val="46FC1A4C"/>
    <w:rsid w:val="47190850"/>
    <w:rsid w:val="47721D0E"/>
    <w:rsid w:val="47BF7590"/>
    <w:rsid w:val="47EF335F"/>
    <w:rsid w:val="487D6BBD"/>
    <w:rsid w:val="48B325DE"/>
    <w:rsid w:val="490B5F77"/>
    <w:rsid w:val="49736367"/>
    <w:rsid w:val="49C66341"/>
    <w:rsid w:val="49DB1DED"/>
    <w:rsid w:val="49FE5ADB"/>
    <w:rsid w:val="4A0155CC"/>
    <w:rsid w:val="4AA448D5"/>
    <w:rsid w:val="4B1732F9"/>
    <w:rsid w:val="4BA3693A"/>
    <w:rsid w:val="4BC93EC7"/>
    <w:rsid w:val="4BD50ABE"/>
    <w:rsid w:val="4BEA27BB"/>
    <w:rsid w:val="4C147838"/>
    <w:rsid w:val="4C6521D2"/>
    <w:rsid w:val="4C786019"/>
    <w:rsid w:val="4D4E28D6"/>
    <w:rsid w:val="4D722A68"/>
    <w:rsid w:val="4DAF7C6A"/>
    <w:rsid w:val="4E451F2B"/>
    <w:rsid w:val="4E775E5C"/>
    <w:rsid w:val="4E994025"/>
    <w:rsid w:val="4EEF633A"/>
    <w:rsid w:val="4F2E6E63"/>
    <w:rsid w:val="4F322AC9"/>
    <w:rsid w:val="4F38383D"/>
    <w:rsid w:val="4FA709C3"/>
    <w:rsid w:val="4FD5531F"/>
    <w:rsid w:val="4FDC68BF"/>
    <w:rsid w:val="501F0559"/>
    <w:rsid w:val="50354221"/>
    <w:rsid w:val="5038161B"/>
    <w:rsid w:val="50C01D3C"/>
    <w:rsid w:val="50D8235D"/>
    <w:rsid w:val="51423EF1"/>
    <w:rsid w:val="51450494"/>
    <w:rsid w:val="51491D32"/>
    <w:rsid w:val="5156444F"/>
    <w:rsid w:val="51AC0513"/>
    <w:rsid w:val="51C413B8"/>
    <w:rsid w:val="51ED5BEA"/>
    <w:rsid w:val="52021EE1"/>
    <w:rsid w:val="522E0F28"/>
    <w:rsid w:val="522E717A"/>
    <w:rsid w:val="52416EAD"/>
    <w:rsid w:val="52A336C4"/>
    <w:rsid w:val="52F67C97"/>
    <w:rsid w:val="53146370"/>
    <w:rsid w:val="53486019"/>
    <w:rsid w:val="5349426B"/>
    <w:rsid w:val="5380105E"/>
    <w:rsid w:val="538F3C48"/>
    <w:rsid w:val="53955F69"/>
    <w:rsid w:val="539574B0"/>
    <w:rsid w:val="53A771E4"/>
    <w:rsid w:val="53CC6C4A"/>
    <w:rsid w:val="53D241D7"/>
    <w:rsid w:val="53EE096F"/>
    <w:rsid w:val="53FF492A"/>
    <w:rsid w:val="544762D1"/>
    <w:rsid w:val="54505185"/>
    <w:rsid w:val="545253A1"/>
    <w:rsid w:val="5495703C"/>
    <w:rsid w:val="54992FD0"/>
    <w:rsid w:val="54D9161F"/>
    <w:rsid w:val="54F46459"/>
    <w:rsid w:val="552C5BF2"/>
    <w:rsid w:val="552C79A0"/>
    <w:rsid w:val="55425416"/>
    <w:rsid w:val="55570796"/>
    <w:rsid w:val="55807CEC"/>
    <w:rsid w:val="55B87486"/>
    <w:rsid w:val="561C5C67"/>
    <w:rsid w:val="5621327D"/>
    <w:rsid w:val="56486A5C"/>
    <w:rsid w:val="56867584"/>
    <w:rsid w:val="56A17F1A"/>
    <w:rsid w:val="57560D05"/>
    <w:rsid w:val="57684EDC"/>
    <w:rsid w:val="57727B09"/>
    <w:rsid w:val="578A30A4"/>
    <w:rsid w:val="57A557E8"/>
    <w:rsid w:val="58044C05"/>
    <w:rsid w:val="580C3AB9"/>
    <w:rsid w:val="58177813"/>
    <w:rsid w:val="582E3A30"/>
    <w:rsid w:val="584E5E80"/>
    <w:rsid w:val="58977827"/>
    <w:rsid w:val="58D97E3F"/>
    <w:rsid w:val="59034EBC"/>
    <w:rsid w:val="591946E0"/>
    <w:rsid w:val="593E4146"/>
    <w:rsid w:val="59417793"/>
    <w:rsid w:val="59441031"/>
    <w:rsid w:val="594B0611"/>
    <w:rsid w:val="59561490"/>
    <w:rsid w:val="599124C8"/>
    <w:rsid w:val="59C06909"/>
    <w:rsid w:val="59E20F76"/>
    <w:rsid w:val="59FA62BF"/>
    <w:rsid w:val="5AB75F5E"/>
    <w:rsid w:val="5B953DC6"/>
    <w:rsid w:val="5C076A71"/>
    <w:rsid w:val="5C2C297C"/>
    <w:rsid w:val="5C45759A"/>
    <w:rsid w:val="5C593045"/>
    <w:rsid w:val="5C700ABB"/>
    <w:rsid w:val="5CDF354A"/>
    <w:rsid w:val="5D0C00B7"/>
    <w:rsid w:val="5D83481E"/>
    <w:rsid w:val="5D9663F4"/>
    <w:rsid w:val="5DBB3FB7"/>
    <w:rsid w:val="5E135BA1"/>
    <w:rsid w:val="5E1E4546"/>
    <w:rsid w:val="5E2356B9"/>
    <w:rsid w:val="5E5D6E1D"/>
    <w:rsid w:val="5E710B1A"/>
    <w:rsid w:val="5EBF3633"/>
    <w:rsid w:val="5EFE2B01"/>
    <w:rsid w:val="5F1576F7"/>
    <w:rsid w:val="5FC81A4F"/>
    <w:rsid w:val="5FE02B0A"/>
    <w:rsid w:val="5FE1701C"/>
    <w:rsid w:val="5FEB66AA"/>
    <w:rsid w:val="5FFB68ED"/>
    <w:rsid w:val="60340051"/>
    <w:rsid w:val="60453C66"/>
    <w:rsid w:val="604D6A0D"/>
    <w:rsid w:val="607246D5"/>
    <w:rsid w:val="60793CB6"/>
    <w:rsid w:val="614E0C9F"/>
    <w:rsid w:val="616E1341"/>
    <w:rsid w:val="61B50D1E"/>
    <w:rsid w:val="623B56C7"/>
    <w:rsid w:val="628958C8"/>
    <w:rsid w:val="62D358FF"/>
    <w:rsid w:val="63611187"/>
    <w:rsid w:val="63ED29F1"/>
    <w:rsid w:val="63F9195E"/>
    <w:rsid w:val="642F4DB7"/>
    <w:rsid w:val="647E7AED"/>
    <w:rsid w:val="64AA6B34"/>
    <w:rsid w:val="64AD2180"/>
    <w:rsid w:val="64E060B2"/>
    <w:rsid w:val="65077AE2"/>
    <w:rsid w:val="651B60C2"/>
    <w:rsid w:val="656A1E1F"/>
    <w:rsid w:val="65775586"/>
    <w:rsid w:val="65FC6F1B"/>
    <w:rsid w:val="65FF8136"/>
    <w:rsid w:val="66546D57"/>
    <w:rsid w:val="66903B07"/>
    <w:rsid w:val="66AF21DF"/>
    <w:rsid w:val="66BD3B89"/>
    <w:rsid w:val="66FD65EC"/>
    <w:rsid w:val="671D539B"/>
    <w:rsid w:val="67931B01"/>
    <w:rsid w:val="679F04A6"/>
    <w:rsid w:val="67AE693B"/>
    <w:rsid w:val="67C1666E"/>
    <w:rsid w:val="67FF0F45"/>
    <w:rsid w:val="682E35D8"/>
    <w:rsid w:val="683706DE"/>
    <w:rsid w:val="68541290"/>
    <w:rsid w:val="689E250C"/>
    <w:rsid w:val="68C06926"/>
    <w:rsid w:val="69252C2D"/>
    <w:rsid w:val="69594684"/>
    <w:rsid w:val="69603C65"/>
    <w:rsid w:val="69796AD5"/>
    <w:rsid w:val="69961435"/>
    <w:rsid w:val="69A55B1C"/>
    <w:rsid w:val="69CD5F85"/>
    <w:rsid w:val="69D41F5D"/>
    <w:rsid w:val="69DB32EB"/>
    <w:rsid w:val="6A0942FC"/>
    <w:rsid w:val="6A1D4C73"/>
    <w:rsid w:val="6A4E1D0F"/>
    <w:rsid w:val="6ACD532A"/>
    <w:rsid w:val="6AEA7C8A"/>
    <w:rsid w:val="6B1E7934"/>
    <w:rsid w:val="6B347157"/>
    <w:rsid w:val="6B874A80"/>
    <w:rsid w:val="6B881251"/>
    <w:rsid w:val="6BB362CE"/>
    <w:rsid w:val="6BF07522"/>
    <w:rsid w:val="6C264CF2"/>
    <w:rsid w:val="6C3513D9"/>
    <w:rsid w:val="6C6121CE"/>
    <w:rsid w:val="6D3E42BD"/>
    <w:rsid w:val="6D940381"/>
    <w:rsid w:val="6DBB590E"/>
    <w:rsid w:val="6DE50BDD"/>
    <w:rsid w:val="6DE62B47"/>
    <w:rsid w:val="6E182D60"/>
    <w:rsid w:val="6E3D6323"/>
    <w:rsid w:val="6E4F6056"/>
    <w:rsid w:val="6EC32CCC"/>
    <w:rsid w:val="6ECE1671"/>
    <w:rsid w:val="6EE175F6"/>
    <w:rsid w:val="6F6822D7"/>
    <w:rsid w:val="6F833042"/>
    <w:rsid w:val="6F9E7295"/>
    <w:rsid w:val="6FA80114"/>
    <w:rsid w:val="6FC0720B"/>
    <w:rsid w:val="704B11CB"/>
    <w:rsid w:val="705C7751"/>
    <w:rsid w:val="706D2F4B"/>
    <w:rsid w:val="70FA499F"/>
    <w:rsid w:val="711517D9"/>
    <w:rsid w:val="712776CC"/>
    <w:rsid w:val="71341C5F"/>
    <w:rsid w:val="715B3690"/>
    <w:rsid w:val="71BC7EA6"/>
    <w:rsid w:val="71F15DA2"/>
    <w:rsid w:val="7218332F"/>
    <w:rsid w:val="72421725"/>
    <w:rsid w:val="726F4F19"/>
    <w:rsid w:val="72BD7A32"/>
    <w:rsid w:val="72D8486C"/>
    <w:rsid w:val="72EE22E1"/>
    <w:rsid w:val="72F13B80"/>
    <w:rsid w:val="72FA5CB5"/>
    <w:rsid w:val="72FF004B"/>
    <w:rsid w:val="735465E8"/>
    <w:rsid w:val="73993FFB"/>
    <w:rsid w:val="73C60B68"/>
    <w:rsid w:val="742F4960"/>
    <w:rsid w:val="745368A0"/>
    <w:rsid w:val="74620891"/>
    <w:rsid w:val="74E4574A"/>
    <w:rsid w:val="74F160B9"/>
    <w:rsid w:val="752B472E"/>
    <w:rsid w:val="758E56B6"/>
    <w:rsid w:val="75C31803"/>
    <w:rsid w:val="75D51537"/>
    <w:rsid w:val="75DC4673"/>
    <w:rsid w:val="75E52843"/>
    <w:rsid w:val="76360227"/>
    <w:rsid w:val="76465F91"/>
    <w:rsid w:val="766C3C49"/>
    <w:rsid w:val="76854D0B"/>
    <w:rsid w:val="768A0573"/>
    <w:rsid w:val="76E924FD"/>
    <w:rsid w:val="772207AC"/>
    <w:rsid w:val="7730111A"/>
    <w:rsid w:val="773C7ABF"/>
    <w:rsid w:val="775F555C"/>
    <w:rsid w:val="7772528F"/>
    <w:rsid w:val="77901BB9"/>
    <w:rsid w:val="77A43A6B"/>
    <w:rsid w:val="77E617D9"/>
    <w:rsid w:val="77EFFCF2"/>
    <w:rsid w:val="780D4FB8"/>
    <w:rsid w:val="782347DB"/>
    <w:rsid w:val="78280044"/>
    <w:rsid w:val="78680440"/>
    <w:rsid w:val="789E20B4"/>
    <w:rsid w:val="78A0407E"/>
    <w:rsid w:val="78A7540C"/>
    <w:rsid w:val="78AD18CD"/>
    <w:rsid w:val="78DD498A"/>
    <w:rsid w:val="78E71CAD"/>
    <w:rsid w:val="7924080B"/>
    <w:rsid w:val="796926C2"/>
    <w:rsid w:val="797C218B"/>
    <w:rsid w:val="79A731EA"/>
    <w:rsid w:val="79EB1329"/>
    <w:rsid w:val="7A123DB6"/>
    <w:rsid w:val="7A6B246A"/>
    <w:rsid w:val="7A8552D9"/>
    <w:rsid w:val="7ACA6905"/>
    <w:rsid w:val="7ACC2F08"/>
    <w:rsid w:val="7B114DBF"/>
    <w:rsid w:val="7B4E6013"/>
    <w:rsid w:val="7B580C40"/>
    <w:rsid w:val="7B7A2964"/>
    <w:rsid w:val="7B803CF3"/>
    <w:rsid w:val="7BEECF46"/>
    <w:rsid w:val="7BF704C2"/>
    <w:rsid w:val="7C0B0F2B"/>
    <w:rsid w:val="7C945CA8"/>
    <w:rsid w:val="7CBA20AA"/>
    <w:rsid w:val="7D884CF3"/>
    <w:rsid w:val="7DC2087C"/>
    <w:rsid w:val="7E4454AB"/>
    <w:rsid w:val="7EA128FE"/>
    <w:rsid w:val="7EFF776B"/>
    <w:rsid w:val="7F337154"/>
    <w:rsid w:val="7FA97CBC"/>
    <w:rsid w:val="7FED152D"/>
    <w:rsid w:val="7FFD7E66"/>
    <w:rsid w:val="B7C510E3"/>
    <w:rsid w:val="CE171D70"/>
    <w:rsid w:val="D7CDF66E"/>
    <w:rsid w:val="DDBFCC64"/>
    <w:rsid w:val="E7CA49CF"/>
    <w:rsid w:val="EEFF25C9"/>
    <w:rsid w:val="EFED2C80"/>
    <w:rsid w:val="F7AF7F2A"/>
    <w:rsid w:val="F9FFD381"/>
    <w:rsid w:val="FDFED87C"/>
    <w:rsid w:val="FE7BB6CB"/>
    <w:rsid w:val="FEBB4D4C"/>
    <w:rsid w:val="FEFB5316"/>
    <w:rsid w:val="FF1FD1FC"/>
    <w:rsid w:val="FFC43CF4"/>
    <w:rsid w:val="FFF62D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outlineLvl w:val="1"/>
    </w:pPr>
    <w:rPr>
      <w:rFonts w:ascii="Cambria" w:hAnsi="Cambria" w:eastAsia="宋体" w:cs="Times New Roman"/>
      <w:b/>
      <w:bCs/>
      <w:color w:val="000000"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16"/>
    <w:qFormat/>
    <w:uiPriority w:val="0"/>
    <w:rPr>
      <w:rFonts w:ascii="宋体"/>
      <w:sz w:val="18"/>
      <w:szCs w:val="18"/>
    </w:rPr>
  </w:style>
  <w:style w:type="paragraph" w:styleId="6">
    <w:name w:val="toc 3"/>
    <w:basedOn w:val="1"/>
    <w:next w:val="1"/>
    <w:qFormat/>
    <w:uiPriority w:val="0"/>
    <w:pPr>
      <w:ind w:left="480"/>
    </w:p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</w:style>
  <w:style w:type="paragraph" w:styleId="10">
    <w:name w:val="toc 2"/>
    <w:basedOn w:val="1"/>
    <w:next w:val="1"/>
    <w:qFormat/>
    <w:uiPriority w:val="39"/>
    <w:pPr>
      <w:ind w:left="420" w:leftChars="200"/>
    </w:p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character" w:styleId="15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6">
    <w:name w:val="文档结构图 Char"/>
    <w:basedOn w:val="14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17">
    <w:name w:val="页脚 Char"/>
    <w:basedOn w:val="14"/>
    <w:link w:val="7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眉 Char"/>
    <w:basedOn w:val="14"/>
    <w:link w:val="8"/>
    <w:qFormat/>
    <w:uiPriority w:val="0"/>
    <w:rPr>
      <w:rFonts w:ascii="Calibri" w:hAnsi="Calibri" w:eastAsia="宋体"/>
      <w:kern w:val="2"/>
      <w:sz w:val="18"/>
      <w:szCs w:val="18"/>
    </w:rPr>
  </w:style>
  <w:style w:type="paragraph" w:customStyle="1" w:styleId="19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20">
    <w:name w:val="WPSOffice手动目录 2"/>
    <w:qFormat/>
    <w:uiPriority w:val="0"/>
    <w:pPr>
      <w:ind w:left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21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kern w:val="2"/>
      <w:szCs w:val="21"/>
    </w:rPr>
  </w:style>
  <w:style w:type="paragraph" w:customStyle="1" w:styleId="22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  <w:lang w:val="en-US" w:eastAsia="en-US" w:bidi="ar-SA"/>
    </w:rPr>
  </w:style>
  <w:style w:type="paragraph" w:customStyle="1" w:styleId="23">
    <w:name w:val="列表段落11"/>
    <w:qFormat/>
    <w:uiPriority w:val="99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4.png"/><Relationship Id="rId4" Type="http://schemas.openxmlformats.org/officeDocument/2006/relationships/endnotes" Target="endnotes.xml"/><Relationship Id="rId39" Type="http://schemas.openxmlformats.org/officeDocument/2006/relationships/image" Target="media/image33.png"/><Relationship Id="rId38" Type="http://schemas.openxmlformats.org/officeDocument/2006/relationships/image" Target="media/image32.pn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2893</Words>
  <Characters>3133</Characters>
  <Lines>28</Lines>
  <Paragraphs>8</Paragraphs>
  <TotalTime>0</TotalTime>
  <ScaleCrop>false</ScaleCrop>
  <LinksUpToDate>false</LinksUpToDate>
  <CharactersWithSpaces>3171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2021-12-11T05:21:00Z</dcterms:created>
  <dc:creator>Administrator</dc:creator>
  <cp:lastModifiedBy>黄鲁霞</cp:lastModifiedBy>
  <dcterms:modified xsi:type="dcterms:W3CDTF">2025-11-17T02:27:24Z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D6C426B16C29401FA30683EF59C86228_13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eyJoZGlkIjoiMGNkMTYyM2Y0OWNjNzU1OWRjZDY0NmI1YmY4ODM2OTQiLCJ1c2VySWQiOiIxNTgyMzk3OTczIn0=</vt:lpwstr>
  </property>
</Properties>
</file>