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2583">
      <w:pPr>
        <w:ind w:rightChars="-416" w:right="-874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2013</w:t>
      </w:r>
      <w:r>
        <w:rPr>
          <w:rFonts w:hint="eastAsia"/>
          <w:b/>
          <w:sz w:val="36"/>
          <w:szCs w:val="36"/>
        </w:rPr>
        <w:t>级本科培养方案</w:t>
      </w:r>
      <w:r>
        <w:rPr>
          <w:rFonts w:hint="eastAsia"/>
          <w:b/>
          <w:sz w:val="36"/>
          <w:szCs w:val="36"/>
        </w:rPr>
        <w:t>修订意见</w:t>
      </w:r>
    </w:p>
    <w:p w:rsidR="00000000" w:rsidRDefault="008A2583">
      <w:pPr>
        <w:spacing w:line="4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各院系：</w:t>
      </w:r>
    </w:p>
    <w:p w:rsidR="00000000" w:rsidRDefault="008A2583">
      <w:pPr>
        <w:spacing w:line="500" w:lineRule="exact"/>
        <w:ind w:firstLine="480"/>
        <w:rPr>
          <w:rFonts w:ascii="宋体" w:hAnsi="宋体" w:hint="eastAsia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现启动</w:t>
      </w:r>
      <w:r>
        <w:rPr>
          <w:rFonts w:ascii="宋体" w:hAnsi="宋体" w:hint="eastAsia"/>
          <w:kern w:val="0"/>
          <w:sz w:val="24"/>
        </w:rPr>
        <w:t>2013</w:t>
      </w:r>
      <w:r>
        <w:rPr>
          <w:rFonts w:ascii="宋体" w:hAnsi="宋体" w:hint="eastAsia"/>
          <w:kern w:val="0"/>
          <w:sz w:val="24"/>
        </w:rPr>
        <w:t>级本科培养方案的修订工作。培养方案是各专业建设的指导性文件，是学校人才培养目标和思路的集中体现，其制定和审核工作直接关系到专业特色建设及人才培养质量。本次培养方案修订，重点调整通识教育课程，包括大学英语、大学计算机、大学体育、大学生思想政治理论课及通识选修课程。同时，在保证培养方案稳定、持续的前提下，进一步优化专业课程。修订重点如下：</w:t>
      </w:r>
    </w:p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spacing w:line="440" w:lineRule="exact"/>
        <w:ind w:left="54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一、关于通识教育课程改革</w:t>
      </w:r>
    </w:p>
    <w:p w:rsidR="00000000" w:rsidRDefault="008A2583">
      <w:pPr>
        <w:spacing w:line="440" w:lineRule="exact"/>
        <w:ind w:firstLineChars="200" w:firstLine="480"/>
        <w:rPr>
          <w:rFonts w:ascii="宋体" w:hAnsi="宋体" w:hint="eastAsia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通识教育课程面向不同学科背景的学生开设，以价值观念的传递、科学思维方法的确立以及完整人格的</w:t>
      </w:r>
      <w:r>
        <w:rPr>
          <w:rFonts w:ascii="宋体" w:hAnsi="宋体" w:hint="eastAsia"/>
          <w:kern w:val="0"/>
          <w:sz w:val="24"/>
        </w:rPr>
        <w:t>塑造为主要目标，引导学生涉及不同学科领域，拓展视野，启迪心智，开阔思维，使之具备宽广的学养基础，获得充足的精神成长以及形成终身受益的基本素质。加强通识教育课程的顶层设计，应从卓越人才的内在素养构成和促进人的全面发展出发，目前已构建</w:t>
      </w:r>
      <w:r>
        <w:rPr>
          <w:rFonts w:ascii="宋体" w:hAnsi="宋体"/>
          <w:kern w:val="0"/>
          <w:sz w:val="24"/>
        </w:rPr>
        <w:t>多元文化与社会进步</w:t>
      </w:r>
      <w:r>
        <w:rPr>
          <w:rFonts w:ascii="宋体" w:hAnsi="宋体" w:hint="eastAsia"/>
          <w:kern w:val="0"/>
          <w:sz w:val="24"/>
        </w:rPr>
        <w:t>、</w:t>
      </w:r>
      <w:r>
        <w:rPr>
          <w:rFonts w:ascii="宋体" w:hAnsi="宋体"/>
          <w:kern w:val="0"/>
          <w:sz w:val="24"/>
        </w:rPr>
        <w:t>经典智慧与批判思维</w:t>
      </w:r>
      <w:r>
        <w:rPr>
          <w:rFonts w:ascii="宋体" w:hAnsi="宋体" w:hint="eastAsia"/>
          <w:kern w:val="0"/>
          <w:sz w:val="24"/>
        </w:rPr>
        <w:t>、自然</w:t>
      </w:r>
      <w:r>
        <w:rPr>
          <w:rFonts w:ascii="宋体" w:hAnsi="宋体"/>
          <w:kern w:val="0"/>
          <w:sz w:val="24"/>
        </w:rPr>
        <w:t>生命与科学</w:t>
      </w:r>
      <w:r>
        <w:rPr>
          <w:rFonts w:ascii="宋体" w:hAnsi="宋体" w:hint="eastAsia"/>
          <w:kern w:val="0"/>
          <w:sz w:val="24"/>
        </w:rPr>
        <w:t>探究、</w:t>
      </w:r>
      <w:r>
        <w:rPr>
          <w:rFonts w:ascii="宋体" w:hAnsi="宋体"/>
          <w:kern w:val="0"/>
          <w:sz w:val="24"/>
        </w:rPr>
        <w:t>艺术修养与人格塑造</w:t>
      </w:r>
      <w:r>
        <w:rPr>
          <w:rFonts w:ascii="宋体" w:hAnsi="宋体" w:hint="eastAsia"/>
          <w:kern w:val="0"/>
          <w:sz w:val="24"/>
        </w:rPr>
        <w:t>四大模块的通识选修课程架构，建设若干门优质通识教育核心课程。在孟宪承书院各师范专业先行试点。</w:t>
      </w:r>
    </w:p>
    <w:p w:rsidR="00000000" w:rsidRDefault="008A2583">
      <w:pPr>
        <w:spacing w:line="440" w:lineRule="exact"/>
        <w:ind w:firstLineChars="200" w:firstLine="480"/>
        <w:rPr>
          <w:rFonts w:ascii="宋体" w:hAnsi="宋体" w:hint="eastAsia"/>
          <w:kern w:val="0"/>
          <w:sz w:val="24"/>
        </w:rPr>
      </w:pPr>
    </w:p>
    <w:p w:rsidR="00000000" w:rsidRDefault="008A2583">
      <w:pPr>
        <w:spacing w:line="440" w:lineRule="exact"/>
        <w:ind w:left="54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二、关于四大公共课改革</w:t>
      </w:r>
    </w:p>
    <w:p w:rsidR="00000000" w:rsidRDefault="008A2583">
      <w:pPr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sz w:val="24"/>
        </w:rPr>
        <w:t>构建具有科学性、先进性与适切性</w:t>
      </w:r>
      <w:r>
        <w:rPr>
          <w:sz w:val="24"/>
        </w:rPr>
        <w:t>的</w:t>
      </w:r>
      <w:r>
        <w:rPr>
          <w:rFonts w:hint="eastAsia"/>
          <w:sz w:val="24"/>
        </w:rPr>
        <w:t>四大公共课程体系是我校建设高水平研究型大学的内在要求</w:t>
      </w:r>
      <w:r>
        <w:rPr>
          <w:rFonts w:hint="eastAsia"/>
          <w:sz w:val="24"/>
        </w:rPr>
        <w:t>，更是我校本年度全面提高人才培养质量的重要抓手。</w:t>
      </w:r>
    </w:p>
    <w:p w:rsidR="00000000" w:rsidRDefault="008A2583">
      <w:pPr>
        <w:widowControl/>
        <w:spacing w:line="440" w:lineRule="exact"/>
        <w:ind w:firstLineChars="250" w:firstLine="602"/>
        <w:jc w:val="left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1</w:t>
      </w:r>
      <w:r>
        <w:rPr>
          <w:rFonts w:hint="eastAsia"/>
          <w:b/>
          <w:kern w:val="0"/>
          <w:sz w:val="24"/>
        </w:rPr>
        <w:t>、大学英语</w:t>
      </w:r>
    </w:p>
    <w:p w:rsidR="00000000" w:rsidRDefault="008A2583">
      <w:pPr>
        <w:pStyle w:val="ListParagraph"/>
        <w:spacing w:line="360" w:lineRule="auto"/>
        <w:ind w:firstLine="480"/>
        <w:jc w:val="left"/>
        <w:rPr>
          <w:rFonts w:ascii="Times New Roman" w:hAnsi="Times New Roman" w:hint="eastAsia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全面提高大学生的英语综合应用能力，使学生初步具有国际视野并有能力用英语参与国内国际竞争，使良好的英语表达与应用能力成为我校人才培养的特色之一。本次大学英语教学改革的内容包括：第一，调整当前的大学英语课程设置，改单一课程设置为多元模块课程；第二，强化基础课程，重点提升全体学生视听说、阅读和写作的能力；第三，注重语言学习环境，</w:t>
      </w:r>
      <w:r>
        <w:rPr>
          <w:rFonts w:hint="eastAsia"/>
          <w:sz w:val="24"/>
        </w:rPr>
        <w:t>构建形式多样的第二课堂，</w:t>
      </w:r>
      <w:r>
        <w:rPr>
          <w:rFonts w:ascii="Times New Roman" w:hAnsi="Times New Roman" w:hint="eastAsia"/>
          <w:kern w:val="0"/>
          <w:sz w:val="24"/>
          <w:szCs w:val="24"/>
        </w:rPr>
        <w:t>建构以网络、教学软件、课堂综合运用相结合的个性化学习模式；第四，</w:t>
      </w:r>
      <w:r>
        <w:rPr>
          <w:rFonts w:hint="eastAsia"/>
          <w:sz w:val="24"/>
        </w:rPr>
        <w:t>设立校本</w:t>
      </w:r>
      <w:r>
        <w:rPr>
          <w:sz w:val="24"/>
        </w:rPr>
        <w:t>英语水平测试</w:t>
      </w:r>
      <w:r>
        <w:rPr>
          <w:rFonts w:hint="eastAsia"/>
          <w:sz w:val="24"/>
        </w:rPr>
        <w:t>。</w:t>
      </w:r>
    </w:p>
    <w:p w:rsidR="00000000" w:rsidRDefault="008A2583">
      <w:pPr>
        <w:pStyle w:val="ListParagraph"/>
        <w:spacing w:line="360" w:lineRule="auto"/>
        <w:ind w:firstLineChars="150" w:firstLine="360"/>
        <w:jc w:val="left"/>
        <w:rPr>
          <w:rFonts w:ascii="Times New Roman" w:hAnsi="Times New Roman" w:hint="eastAsia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具体安排如下</w:t>
      </w:r>
      <w:r>
        <w:rPr>
          <w:rFonts w:ascii="Times New Roman" w:hAnsi="Times New Roman" w:hint="eastAsia"/>
          <w:kern w:val="0"/>
          <w:sz w:val="24"/>
          <w:szCs w:val="24"/>
        </w:rPr>
        <w:t>：</w:t>
      </w:r>
    </w:p>
    <w:p w:rsidR="00C4278E" w:rsidRDefault="00C4278E">
      <w:pPr>
        <w:pStyle w:val="ListParagraph"/>
        <w:spacing w:line="360" w:lineRule="auto"/>
        <w:ind w:firstLineChars="150" w:firstLine="360"/>
        <w:jc w:val="left"/>
        <w:rPr>
          <w:rFonts w:ascii="Times New Roman" w:hAnsi="Times New Roman" w:hint="eastAsia"/>
          <w:kern w:val="0"/>
          <w:sz w:val="24"/>
          <w:szCs w:val="24"/>
        </w:rPr>
      </w:pPr>
    </w:p>
    <w:p w:rsidR="00C4278E" w:rsidRDefault="00C4278E">
      <w:pPr>
        <w:pStyle w:val="ListParagraph"/>
        <w:spacing w:line="360" w:lineRule="auto"/>
        <w:ind w:firstLineChars="150" w:firstLine="360"/>
        <w:jc w:val="left"/>
        <w:rPr>
          <w:rFonts w:ascii="Times New Roman" w:hAnsi="Times New Roman" w:hint="eastAsia"/>
          <w:kern w:val="0"/>
          <w:sz w:val="24"/>
          <w:szCs w:val="24"/>
        </w:rPr>
      </w:pPr>
    </w:p>
    <w:p w:rsidR="00C4278E" w:rsidRDefault="00C4278E">
      <w:pPr>
        <w:pStyle w:val="ListParagraph"/>
        <w:spacing w:line="360" w:lineRule="auto"/>
        <w:ind w:firstLineChars="150" w:firstLine="360"/>
        <w:jc w:val="left"/>
        <w:rPr>
          <w:rFonts w:ascii="Times New Roman" w:hAnsi="Times New Roman" w:hint="eastAsia"/>
          <w:kern w:val="0"/>
          <w:sz w:val="24"/>
          <w:szCs w:val="24"/>
        </w:rPr>
      </w:pPr>
    </w:p>
    <w:p w:rsidR="00C4278E" w:rsidRDefault="00C4278E">
      <w:pPr>
        <w:pStyle w:val="ListParagraph"/>
        <w:spacing w:line="360" w:lineRule="auto"/>
        <w:ind w:firstLineChars="150" w:firstLine="360"/>
        <w:jc w:val="left"/>
        <w:rPr>
          <w:rFonts w:ascii="Times New Roman" w:hAnsi="Times New Roman" w:hint="eastAsia"/>
          <w:kern w:val="0"/>
          <w:sz w:val="24"/>
          <w:szCs w:val="24"/>
        </w:rPr>
      </w:pPr>
    </w:p>
    <w:p w:rsidR="00C4278E" w:rsidRDefault="00C4278E">
      <w:pPr>
        <w:pStyle w:val="ListParagraph"/>
        <w:spacing w:line="360" w:lineRule="auto"/>
        <w:ind w:firstLineChars="150" w:firstLine="360"/>
        <w:jc w:val="left"/>
        <w:rPr>
          <w:rFonts w:ascii="Times New Roman" w:hAnsi="Times New Roman" w:hint="eastAsia"/>
          <w:kern w:val="0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"/>
        <w:gridCol w:w="992"/>
        <w:gridCol w:w="874"/>
        <w:gridCol w:w="1195"/>
        <w:gridCol w:w="965"/>
        <w:gridCol w:w="1137"/>
        <w:gridCol w:w="1867"/>
        <w:gridCol w:w="1417"/>
      </w:tblGrid>
      <w:tr w:rsidR="00C4278E" w:rsidTr="00D668F0">
        <w:trPr>
          <w:trHeight w:val="705"/>
        </w:trPr>
        <w:tc>
          <w:tcPr>
            <w:tcW w:w="875" w:type="dxa"/>
            <w:vMerge w:val="restart"/>
          </w:tcPr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普通班</w:t>
            </w:r>
            <w:r>
              <w:rPr>
                <w:rFonts w:hint="eastAsia"/>
                <w:b/>
              </w:rPr>
              <w:t>85%</w:t>
            </w:r>
          </w:p>
        </w:tc>
        <w:tc>
          <w:tcPr>
            <w:tcW w:w="992" w:type="dxa"/>
            <w:vMerge w:val="restart"/>
          </w:tcPr>
          <w:p w:rsidR="00C4278E" w:rsidRDefault="00C4278E" w:rsidP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学术英语听说</w:t>
            </w:r>
          </w:p>
          <w:p w:rsidR="00C4278E" w:rsidRDefault="00C4278E">
            <w:pPr>
              <w:pStyle w:val="Normal"/>
              <w:rPr>
                <w:rFonts w:hint="eastAsia"/>
              </w:rPr>
            </w:pPr>
          </w:p>
        </w:tc>
        <w:tc>
          <w:tcPr>
            <w:tcW w:w="874" w:type="dxa"/>
            <w:vMerge w:val="restart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学术英语阅读</w:t>
            </w:r>
          </w:p>
        </w:tc>
        <w:tc>
          <w:tcPr>
            <w:tcW w:w="1195" w:type="dxa"/>
            <w:vMerge w:val="restart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学术英语写作</w:t>
            </w:r>
          </w:p>
        </w:tc>
        <w:tc>
          <w:tcPr>
            <w:tcW w:w="3969" w:type="dxa"/>
            <w:gridSpan w:val="3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英语选修课</w:t>
            </w:r>
          </w:p>
        </w:tc>
        <w:tc>
          <w:tcPr>
            <w:tcW w:w="1417" w:type="dxa"/>
            <w:vMerge w:val="restart"/>
          </w:tcPr>
          <w:p w:rsidR="00C4278E" w:rsidRPr="00D668F0" w:rsidRDefault="00C4278E">
            <w:pPr>
              <w:pStyle w:val="Normal"/>
              <w:rPr>
                <w:rFonts w:hint="eastAsia"/>
              </w:rPr>
            </w:pPr>
            <w:r w:rsidRPr="00D668F0">
              <w:rPr>
                <w:rFonts w:hint="eastAsia"/>
                <w:sz w:val="24"/>
              </w:rPr>
              <w:t>网络课程</w:t>
            </w:r>
          </w:p>
        </w:tc>
      </w:tr>
      <w:tr w:rsidR="00C4278E" w:rsidTr="00D668F0">
        <w:trPr>
          <w:trHeight w:val="928"/>
        </w:trPr>
        <w:tc>
          <w:tcPr>
            <w:tcW w:w="875" w:type="dxa"/>
            <w:vMerge/>
          </w:tcPr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</w:p>
        </w:tc>
        <w:tc>
          <w:tcPr>
            <w:tcW w:w="992" w:type="dxa"/>
            <w:vMerge/>
          </w:tcPr>
          <w:p w:rsidR="00C4278E" w:rsidRDefault="00C4278E" w:rsidP="00C4278E">
            <w:pPr>
              <w:pStyle w:val="Normal"/>
              <w:rPr>
                <w:rFonts w:hint="eastAsia"/>
              </w:rPr>
            </w:pPr>
          </w:p>
        </w:tc>
        <w:tc>
          <w:tcPr>
            <w:tcW w:w="874" w:type="dxa"/>
            <w:vMerge/>
          </w:tcPr>
          <w:p w:rsidR="00C4278E" w:rsidRDefault="00C4278E">
            <w:pPr>
              <w:pStyle w:val="Normal"/>
              <w:rPr>
                <w:rFonts w:hint="eastAsia"/>
              </w:rPr>
            </w:pPr>
          </w:p>
        </w:tc>
        <w:tc>
          <w:tcPr>
            <w:tcW w:w="1195" w:type="dxa"/>
            <w:vMerge/>
          </w:tcPr>
          <w:p w:rsidR="00C4278E" w:rsidRDefault="00C4278E">
            <w:pPr>
              <w:pStyle w:val="Normal"/>
              <w:rPr>
                <w:rFonts w:hint="eastAsia"/>
              </w:rPr>
            </w:pPr>
          </w:p>
        </w:tc>
        <w:tc>
          <w:tcPr>
            <w:tcW w:w="965" w:type="dxa"/>
          </w:tcPr>
          <w:p w:rsidR="00C4278E" w:rsidRDefault="00C4278E" w:rsidP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语言提升课程系列</w:t>
            </w:r>
          </w:p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</w:p>
        </w:tc>
        <w:tc>
          <w:tcPr>
            <w:tcW w:w="1137" w:type="dxa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文化拓展课程系列</w:t>
            </w:r>
          </w:p>
        </w:tc>
        <w:tc>
          <w:tcPr>
            <w:tcW w:w="1867" w:type="dxa"/>
          </w:tcPr>
          <w:p w:rsidR="00C4278E" w:rsidRDefault="00D668F0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专门学术英语</w:t>
            </w:r>
            <w:r w:rsidR="00C4278E">
              <w:rPr>
                <w:rFonts w:hint="eastAsia"/>
              </w:rPr>
              <w:t>课程</w:t>
            </w:r>
          </w:p>
        </w:tc>
        <w:tc>
          <w:tcPr>
            <w:tcW w:w="1417" w:type="dxa"/>
            <w:vMerge/>
          </w:tcPr>
          <w:p w:rsidR="00C4278E" w:rsidRDefault="00C4278E">
            <w:pPr>
              <w:pStyle w:val="Normal"/>
              <w:rPr>
                <w:rFonts w:hint="eastAsia"/>
              </w:rPr>
            </w:pPr>
          </w:p>
        </w:tc>
      </w:tr>
      <w:tr w:rsidR="00C4278E" w:rsidTr="00D668F0">
        <w:trPr>
          <w:trHeight w:val="1141"/>
        </w:trPr>
        <w:tc>
          <w:tcPr>
            <w:tcW w:w="875" w:type="dxa"/>
          </w:tcPr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实验班</w:t>
            </w:r>
          </w:p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10%</w:t>
            </w:r>
          </w:p>
        </w:tc>
        <w:tc>
          <w:tcPr>
            <w:tcW w:w="992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学术英语听说</w:t>
            </w:r>
          </w:p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（高级）</w:t>
            </w:r>
          </w:p>
        </w:tc>
        <w:tc>
          <w:tcPr>
            <w:tcW w:w="874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学术英语阅读</w:t>
            </w:r>
          </w:p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高级）</w:t>
            </w:r>
          </w:p>
        </w:tc>
        <w:tc>
          <w:tcPr>
            <w:tcW w:w="1195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学术英语写作</w:t>
            </w:r>
          </w:p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（高级）</w:t>
            </w:r>
          </w:p>
        </w:tc>
        <w:tc>
          <w:tcPr>
            <w:tcW w:w="3969" w:type="dxa"/>
            <w:gridSpan w:val="3"/>
          </w:tcPr>
          <w:p w:rsidR="00C4278E" w:rsidRDefault="00C4278E" w:rsidP="00D668F0">
            <w:pPr>
              <w:pStyle w:val="Normal"/>
              <w:ind w:firstLineChars="350" w:firstLine="735"/>
              <w:rPr>
                <w:rFonts w:hint="eastAsia"/>
              </w:rPr>
            </w:pPr>
            <w:r>
              <w:rPr>
                <w:rFonts w:hint="eastAsia"/>
              </w:rPr>
              <w:t>高级英语任意选修课</w:t>
            </w:r>
          </w:p>
        </w:tc>
        <w:tc>
          <w:tcPr>
            <w:tcW w:w="1417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学术英语系列讲座</w:t>
            </w:r>
          </w:p>
        </w:tc>
      </w:tr>
      <w:tr w:rsidR="00C4278E" w:rsidTr="00D668F0">
        <w:trPr>
          <w:trHeight w:val="792"/>
        </w:trPr>
        <w:tc>
          <w:tcPr>
            <w:tcW w:w="875" w:type="dxa"/>
          </w:tcPr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学期</w:t>
            </w:r>
          </w:p>
        </w:tc>
        <w:tc>
          <w:tcPr>
            <w:tcW w:w="992" w:type="dxa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1+2</w:t>
            </w:r>
            <w:r>
              <w:rPr>
                <w:rFonts w:hint="eastAsia"/>
              </w:rPr>
              <w:t>学期</w:t>
            </w:r>
          </w:p>
        </w:tc>
        <w:tc>
          <w:tcPr>
            <w:tcW w:w="874" w:type="dxa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1195" w:type="dxa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3969" w:type="dxa"/>
            <w:gridSpan w:val="3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学期</w:t>
            </w:r>
          </w:p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（可任选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门，修满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个学分即可）</w:t>
            </w:r>
          </w:p>
        </w:tc>
        <w:tc>
          <w:tcPr>
            <w:tcW w:w="1417" w:type="dxa"/>
          </w:tcPr>
          <w:p w:rsidR="00C4278E" w:rsidRDefault="00D668F0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</w:p>
        </w:tc>
      </w:tr>
      <w:tr w:rsidR="00C4278E" w:rsidTr="00D668F0">
        <w:trPr>
          <w:trHeight w:val="433"/>
        </w:trPr>
        <w:tc>
          <w:tcPr>
            <w:tcW w:w="875" w:type="dxa"/>
          </w:tcPr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周课时</w:t>
            </w:r>
          </w:p>
        </w:tc>
        <w:tc>
          <w:tcPr>
            <w:tcW w:w="992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2+2</w:t>
            </w:r>
          </w:p>
        </w:tc>
        <w:tc>
          <w:tcPr>
            <w:tcW w:w="874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95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969" w:type="dxa"/>
            <w:gridSpan w:val="3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学分</w:t>
            </w:r>
          </w:p>
        </w:tc>
        <w:tc>
          <w:tcPr>
            <w:tcW w:w="1417" w:type="dxa"/>
          </w:tcPr>
          <w:p w:rsidR="00C4278E" w:rsidRDefault="00D668F0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每次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C4278E" w:rsidTr="00D668F0">
        <w:trPr>
          <w:trHeight w:val="684"/>
        </w:trPr>
        <w:tc>
          <w:tcPr>
            <w:tcW w:w="875" w:type="dxa"/>
          </w:tcPr>
          <w:p w:rsidR="00C4278E" w:rsidRDefault="00C4278E">
            <w:pPr>
              <w:pStyle w:val="Normal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992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2+2</w:t>
            </w:r>
          </w:p>
        </w:tc>
        <w:tc>
          <w:tcPr>
            <w:tcW w:w="874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95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969" w:type="dxa"/>
            <w:gridSpan w:val="3"/>
          </w:tcPr>
          <w:p w:rsidR="00C4278E" w:rsidRDefault="00C4278E"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（部分课程</w:t>
            </w:r>
            <w:r w:rsidR="00D668F0"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417" w:type="dxa"/>
          </w:tcPr>
          <w:p w:rsidR="00C4278E" w:rsidRDefault="00C4278E">
            <w:pPr>
              <w:pStyle w:val="Normal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</w:tbl>
    <w:p w:rsidR="00C4278E" w:rsidRDefault="00C4278E" w:rsidP="00D668F0">
      <w:pPr>
        <w:spacing w:line="240" w:lineRule="atLeast"/>
        <w:rPr>
          <w:rFonts w:ascii="宋体" w:hAnsi="宋体" w:hint="eastAsia"/>
          <w:kern w:val="0"/>
          <w:sz w:val="24"/>
        </w:rPr>
      </w:pPr>
    </w:p>
    <w:p w:rsidR="00C4278E" w:rsidRDefault="00C4278E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widowControl/>
        <w:spacing w:line="440" w:lineRule="exact"/>
        <w:ind w:firstLineChars="200" w:firstLine="482"/>
        <w:jc w:val="left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2</w:t>
      </w:r>
      <w:r>
        <w:rPr>
          <w:rFonts w:hint="eastAsia"/>
          <w:b/>
          <w:kern w:val="0"/>
          <w:sz w:val="24"/>
        </w:rPr>
        <w:t>、大学计算机：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kern w:val="0"/>
          <w:sz w:val="24"/>
        </w:rPr>
      </w:pPr>
      <w:r>
        <w:rPr>
          <w:rFonts w:hint="eastAsia"/>
          <w:sz w:val="24"/>
        </w:rPr>
        <w:t>大学计算机课程改革</w:t>
      </w:r>
      <w:r>
        <w:rPr>
          <w:rFonts w:hint="eastAsia"/>
          <w:sz w:val="24"/>
        </w:rPr>
        <w:t>以</w:t>
      </w:r>
      <w:r>
        <w:rPr>
          <w:rFonts w:hint="eastAsia"/>
          <w:kern w:val="0"/>
          <w:sz w:val="24"/>
        </w:rPr>
        <w:t>培养学生计算思维素养和信息技术应用能力</w:t>
      </w:r>
      <w:r>
        <w:rPr>
          <w:rFonts w:hint="eastAsia"/>
          <w:sz w:val="24"/>
        </w:rPr>
        <w:t>为导向，</w:t>
      </w:r>
      <w:r>
        <w:rPr>
          <w:sz w:val="24"/>
        </w:rPr>
        <w:t>调整课程结构</w:t>
      </w:r>
      <w:r>
        <w:rPr>
          <w:rFonts w:hint="eastAsia"/>
          <w:sz w:val="24"/>
        </w:rPr>
        <w:t>，更新</w:t>
      </w:r>
      <w:r>
        <w:rPr>
          <w:sz w:val="24"/>
        </w:rPr>
        <w:t>教学内容</w:t>
      </w:r>
      <w:r>
        <w:rPr>
          <w:rFonts w:hint="eastAsia"/>
          <w:sz w:val="24"/>
        </w:rPr>
        <w:t>，</w:t>
      </w:r>
      <w:r>
        <w:rPr>
          <w:sz w:val="24"/>
        </w:rPr>
        <w:t>建立全方位立体</w:t>
      </w:r>
      <w:r>
        <w:rPr>
          <w:rFonts w:hint="eastAsia"/>
          <w:sz w:val="24"/>
        </w:rPr>
        <w:t>化</w:t>
      </w:r>
      <w:r>
        <w:rPr>
          <w:sz w:val="24"/>
        </w:rPr>
        <w:t>教学资源</w:t>
      </w:r>
      <w:r>
        <w:rPr>
          <w:rFonts w:hint="eastAsia"/>
          <w:sz w:val="24"/>
        </w:rPr>
        <w:t>。</w:t>
      </w:r>
      <w:r>
        <w:rPr>
          <w:rFonts w:hint="eastAsia"/>
          <w:kern w:val="0"/>
          <w:sz w:val="24"/>
        </w:rPr>
        <w:t>具体安排如下：</w:t>
      </w:r>
      <w:r>
        <w:rPr>
          <w:rFonts w:hint="eastAsia"/>
          <w:kern w:val="0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3"/>
        <w:gridCol w:w="2774"/>
        <w:gridCol w:w="2373"/>
      </w:tblGrid>
      <w:tr w:rsidR="00000000">
        <w:trPr>
          <w:trHeight w:val="574"/>
          <w:jc w:val="center"/>
        </w:trPr>
        <w:tc>
          <w:tcPr>
            <w:tcW w:w="3973" w:type="dxa"/>
            <w:vAlign w:val="center"/>
          </w:tcPr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第一学期</w:t>
            </w: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</w:tc>
        <w:tc>
          <w:tcPr>
            <w:tcW w:w="2774" w:type="dxa"/>
            <w:vAlign w:val="center"/>
          </w:tcPr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第二学期</w:t>
            </w: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</w:tc>
        <w:tc>
          <w:tcPr>
            <w:tcW w:w="2373" w:type="dxa"/>
            <w:vAlign w:val="center"/>
          </w:tcPr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第三学期</w:t>
            </w: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</w:tc>
      </w:tr>
      <w:tr w:rsidR="00000000">
        <w:trPr>
          <w:trHeight w:val="2675"/>
          <w:jc w:val="center"/>
        </w:trPr>
        <w:tc>
          <w:tcPr>
            <w:tcW w:w="3973" w:type="dxa"/>
            <w:vAlign w:val="center"/>
          </w:tcPr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计算机入门（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（入学考试</w:t>
            </w:r>
            <w:r>
              <w:rPr>
                <w:rFonts w:ascii="宋体" w:hAnsi="宋体" w:hint="eastAsia"/>
                <w:sz w:val="24"/>
              </w:rPr>
              <w:t>80</w:t>
            </w:r>
            <w:r>
              <w:rPr>
                <w:rFonts w:ascii="宋体" w:hAnsi="宋体" w:hint="eastAsia"/>
                <w:sz w:val="24"/>
              </w:rPr>
              <w:t>分以上可免修、未通过者学校提供教材、机房供学生自学）</w:t>
            </w:r>
          </w:p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《大学计算机》</w:t>
            </w:r>
          </w:p>
          <w:p w:rsidR="00000000" w:rsidRDefault="008A2583">
            <w:pPr>
              <w:pStyle w:val="NewNew"/>
              <w:ind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36+36 2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</w:tc>
        <w:tc>
          <w:tcPr>
            <w:tcW w:w="2774" w:type="dxa"/>
            <w:vAlign w:val="center"/>
          </w:tcPr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《算法与程序设计基础》</w:t>
            </w:r>
          </w:p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《数据处理与管理》</w:t>
            </w: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《多媒体与网络基础》</w:t>
            </w: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36+36  2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（三选一）</w:t>
            </w:r>
          </w:p>
        </w:tc>
        <w:tc>
          <w:tcPr>
            <w:tcW w:w="2373" w:type="dxa"/>
            <w:vAlign w:val="center"/>
          </w:tcPr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《计算机综合实践》（</w:t>
            </w:r>
            <w:r>
              <w:rPr>
                <w:rFonts w:ascii="宋体" w:hAnsi="宋体" w:hint="eastAsia"/>
                <w:sz w:val="24"/>
              </w:rPr>
              <w:t>18</w:t>
            </w:r>
            <w:r>
              <w:rPr>
                <w:rFonts w:ascii="宋体" w:hAnsi="宋体" w:hint="eastAsia"/>
                <w:sz w:val="24"/>
              </w:rPr>
              <w:t>学时</w:t>
            </w:r>
            <w:r>
              <w:rPr>
                <w:rFonts w:ascii="宋体" w:hAnsi="宋体" w:hint="eastAsia"/>
                <w:sz w:val="24"/>
              </w:rPr>
              <w:t xml:space="preserve"> 1</w:t>
            </w:r>
            <w:r>
              <w:rPr>
                <w:rFonts w:ascii="宋体" w:hAnsi="宋体" w:hint="eastAsia"/>
                <w:sz w:val="24"/>
              </w:rPr>
              <w:t>学分）</w:t>
            </w:r>
          </w:p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</w:p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621"/>
          <w:jc w:val="center"/>
        </w:trPr>
        <w:tc>
          <w:tcPr>
            <w:tcW w:w="9120" w:type="dxa"/>
            <w:gridSpan w:val="3"/>
            <w:vAlign w:val="center"/>
          </w:tcPr>
          <w:p w:rsidR="00000000" w:rsidRDefault="008A2583">
            <w:pPr>
              <w:pStyle w:val="NewNew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</w:rPr>
              <w:t>注：学生在校期间参加</w:t>
            </w:r>
            <w:r>
              <w:rPr>
                <w:rFonts w:hint="eastAsia"/>
              </w:rPr>
              <w:t>学校认可的各类竞赛，经学校认定后可免修第三学期《计算机综合实践》获得相应学分。</w:t>
            </w:r>
          </w:p>
        </w:tc>
      </w:tr>
    </w:tbl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widowControl/>
        <w:spacing w:line="440" w:lineRule="exact"/>
        <w:ind w:firstLineChars="200" w:firstLine="482"/>
        <w:jc w:val="left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3</w:t>
      </w:r>
      <w:r>
        <w:rPr>
          <w:rFonts w:hint="eastAsia"/>
          <w:b/>
          <w:kern w:val="0"/>
          <w:sz w:val="24"/>
        </w:rPr>
        <w:t>、大学体育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在孟宪承书院各师范专业试点</w:t>
      </w:r>
      <w:r>
        <w:rPr>
          <w:rFonts w:hint="eastAsia"/>
          <w:sz w:val="24"/>
        </w:rPr>
        <w:t>体育俱乐部制的大学体育教学模式。学生根据各自的兴趣爱好选择各类体育专项，</w:t>
      </w:r>
      <w:r>
        <w:rPr>
          <w:rFonts w:hint="eastAsia"/>
          <w:kern w:val="0"/>
          <w:sz w:val="24"/>
        </w:rPr>
        <w:t>通过分层教学，课内外结合，灵活多样的俱乐部制机构，构建激励性体育学习评价体系，倡导学生因兴趣而运动，养成终身锻炼的习惯和特长，充分发挥体育课程培养学生运动兴趣和强身健心的功能。</w:t>
      </w:r>
    </w:p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widowControl/>
        <w:spacing w:line="440" w:lineRule="exact"/>
        <w:ind w:firstLineChars="200" w:firstLine="482"/>
        <w:jc w:val="left"/>
        <w:rPr>
          <w:rFonts w:hint="eastAsia"/>
          <w:kern w:val="0"/>
          <w:sz w:val="24"/>
        </w:rPr>
      </w:pPr>
      <w:r>
        <w:rPr>
          <w:rFonts w:hint="eastAsia"/>
          <w:b/>
          <w:kern w:val="0"/>
          <w:sz w:val="24"/>
        </w:rPr>
        <w:t>4</w:t>
      </w:r>
      <w:r>
        <w:rPr>
          <w:rFonts w:hint="eastAsia"/>
          <w:b/>
          <w:kern w:val="0"/>
          <w:sz w:val="24"/>
        </w:rPr>
        <w:t>、大学生思想政治理论课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kern w:val="0"/>
          <w:sz w:val="24"/>
        </w:rPr>
      </w:pPr>
      <w:r>
        <w:rPr>
          <w:rFonts w:hint="eastAsia"/>
          <w:sz w:val="24"/>
        </w:rPr>
        <w:t>通过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“专题教学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研究性教学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实践教学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网络教学”四位一体的立体化教学模式，加强内涵建设，</w:t>
      </w:r>
      <w:r>
        <w:rPr>
          <w:rFonts w:hint="eastAsia"/>
          <w:kern w:val="0"/>
          <w:sz w:val="24"/>
        </w:rPr>
        <w:t>切实提高思政课教学的</w:t>
      </w:r>
      <w:r>
        <w:rPr>
          <w:rFonts w:hint="eastAsia"/>
          <w:kern w:val="0"/>
          <w:sz w:val="24"/>
        </w:rPr>
        <w:t>针对性与有效性，切实增强课程的吸引力和感染力，整体推进课堂教学质量的提升。</w:t>
      </w:r>
      <w:r>
        <w:rPr>
          <w:kern w:val="0"/>
          <w:sz w:val="24"/>
        </w:rPr>
        <w:t xml:space="preserve"> </w:t>
      </w:r>
    </w:p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spacing w:line="440" w:lineRule="exact"/>
        <w:ind w:firstLineChars="200" w:firstLine="482"/>
        <w:jc w:val="left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三、关于专业教育课程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各专业应瞄准研究型大学的人才培养目标，科学合理地确定人才培养目标和规格。基于人才培养目标与规格，进一步完善专业教育课程体系。专业培养方案必须与专业培养目标高度契合，体现专业优势与特色。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学科基础课程和专业必修课程力争逐步与国际接轨。专业必修课程应注重课程之间的逻辑关系，课程的学时学分设置、学期分布应当科学合理。专业选修课程设置应妥善处理深度与广度、经典与前沿的关系。避免出现课程重复雷同，因人设课、资源不足等</w:t>
      </w:r>
      <w:r>
        <w:rPr>
          <w:rFonts w:hint="eastAsia"/>
          <w:sz w:val="24"/>
        </w:rPr>
        <w:t>现象。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专业教育课程的设置与调整，需经院系教学委员会论证与审定。</w:t>
      </w:r>
    </w:p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spacing w:line="440" w:lineRule="exact"/>
        <w:ind w:firstLineChars="200" w:firstLine="482"/>
        <w:jc w:val="left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四、关于实践教学</w:t>
      </w: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各专业须保证实验教学和专业实习等实践环节的经费投入。增大实践教学课时比重，落实人文社会科学类本科专业不少于总学分（学时）的</w:t>
      </w:r>
      <w:r>
        <w:rPr>
          <w:rFonts w:hint="eastAsia"/>
          <w:sz w:val="24"/>
        </w:rPr>
        <w:t>15%</w:t>
      </w:r>
      <w:r>
        <w:rPr>
          <w:rFonts w:hint="eastAsia"/>
          <w:sz w:val="24"/>
        </w:rPr>
        <w:t>、理工科专业不少于</w:t>
      </w:r>
      <w:r>
        <w:rPr>
          <w:rFonts w:hint="eastAsia"/>
          <w:sz w:val="24"/>
        </w:rPr>
        <w:t>25%</w:t>
      </w:r>
      <w:r>
        <w:rPr>
          <w:rFonts w:hint="eastAsia"/>
          <w:sz w:val="24"/>
        </w:rPr>
        <w:t>的实践教学的基本要求。通过项目建设促进科研成果的转化和实验教学内容的更新，实现实验科目年更新率</w:t>
      </w:r>
      <w:r>
        <w:rPr>
          <w:rFonts w:hint="eastAsia"/>
          <w:sz w:val="24"/>
        </w:rPr>
        <w:t>10%</w:t>
      </w:r>
      <w:r>
        <w:rPr>
          <w:rFonts w:hint="eastAsia"/>
          <w:sz w:val="24"/>
        </w:rPr>
        <w:t>的目标。</w:t>
      </w:r>
    </w:p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spacing w:line="440" w:lineRule="exact"/>
        <w:ind w:firstLineChars="200" w:firstLine="482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五、注意事项：</w:t>
      </w: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1</w:t>
      </w:r>
      <w:r>
        <w:rPr>
          <w:rFonts w:hint="eastAsia"/>
          <w:kern w:val="0"/>
          <w:sz w:val="24"/>
        </w:rPr>
        <w:t>、</w:t>
      </w:r>
      <w:r>
        <w:rPr>
          <w:rFonts w:hint="eastAsia"/>
          <w:kern w:val="0"/>
          <w:sz w:val="24"/>
        </w:rPr>
        <w:t>2013</w:t>
      </w:r>
      <w:r>
        <w:rPr>
          <w:rFonts w:hint="eastAsia"/>
          <w:kern w:val="0"/>
          <w:sz w:val="24"/>
        </w:rPr>
        <w:t>级招收留学生的相关专业，请各专业制定并提交留学生的培养方案，相关指导意见参看附件</w:t>
      </w:r>
      <w:r>
        <w:rPr>
          <w:rFonts w:hint="eastAsia"/>
          <w:kern w:val="0"/>
          <w:sz w:val="24"/>
        </w:rPr>
        <w:t>（附件</w:t>
      </w:r>
      <w:r>
        <w:rPr>
          <w:rFonts w:hint="eastAsia"/>
          <w:kern w:val="0"/>
          <w:sz w:val="24"/>
        </w:rPr>
        <w:t>1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。</w:t>
      </w: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2</w:t>
      </w:r>
      <w:r>
        <w:rPr>
          <w:rFonts w:hint="eastAsia"/>
          <w:kern w:val="0"/>
          <w:sz w:val="24"/>
        </w:rPr>
        <w:t>、教育部教指委制定的专业规范是每个专业</w:t>
      </w:r>
      <w:r>
        <w:rPr>
          <w:rFonts w:hint="eastAsia"/>
          <w:kern w:val="0"/>
          <w:sz w:val="24"/>
        </w:rPr>
        <w:t>制定自身发展规划的重要规则和参照，各专业应据此修订和调整。</w:t>
      </w: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3</w:t>
      </w:r>
      <w:r>
        <w:rPr>
          <w:rFonts w:hint="eastAsia"/>
          <w:kern w:val="0"/>
          <w:sz w:val="24"/>
        </w:rPr>
        <w:t>、培养方案是校方与学生签订的契约，具有严肃性和权威性。培养方案一经确定，不得随意变更。但凡列入培养方案的课程必须正常开出。</w:t>
      </w:r>
    </w:p>
    <w:p w:rsidR="00000000" w:rsidRDefault="008A2583">
      <w:pPr>
        <w:spacing w:line="240" w:lineRule="atLeast"/>
        <w:ind w:firstLine="482"/>
        <w:rPr>
          <w:rFonts w:ascii="宋体" w:hAnsi="宋体" w:hint="eastAsia"/>
          <w:kern w:val="0"/>
          <w:sz w:val="24"/>
        </w:rPr>
      </w:pP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请各单位认真组织培养方案修订工作，</w:t>
      </w:r>
      <w:r>
        <w:rPr>
          <w:rFonts w:hint="eastAsia"/>
          <w:kern w:val="0"/>
          <w:sz w:val="24"/>
        </w:rPr>
        <w:t>4</w:t>
      </w:r>
      <w:r>
        <w:rPr>
          <w:rFonts w:hint="eastAsia"/>
          <w:kern w:val="0"/>
          <w:sz w:val="24"/>
        </w:rPr>
        <w:t>月</w:t>
      </w:r>
      <w:r>
        <w:rPr>
          <w:rFonts w:hint="eastAsia"/>
          <w:kern w:val="0"/>
          <w:sz w:val="24"/>
        </w:rPr>
        <w:t>15</w:t>
      </w:r>
      <w:r>
        <w:rPr>
          <w:rFonts w:hint="eastAsia"/>
          <w:kern w:val="0"/>
          <w:sz w:val="24"/>
        </w:rPr>
        <w:t>日前向教务处提交《</w:t>
      </w:r>
      <w:r>
        <w:rPr>
          <w:rFonts w:hint="eastAsia"/>
          <w:kern w:val="0"/>
          <w:sz w:val="24"/>
        </w:rPr>
        <w:t>2013</w:t>
      </w:r>
      <w:r>
        <w:rPr>
          <w:rFonts w:hint="eastAsia"/>
          <w:kern w:val="0"/>
          <w:sz w:val="24"/>
        </w:rPr>
        <w:t>级本科培养方案》及《本科培养方案修订报告》（附件</w:t>
      </w:r>
      <w:r>
        <w:rPr>
          <w:rFonts w:hint="eastAsia"/>
          <w:kern w:val="0"/>
          <w:sz w:val="24"/>
        </w:rPr>
        <w:t>2</w:t>
      </w:r>
      <w:r>
        <w:rPr>
          <w:rFonts w:hint="eastAsia"/>
          <w:kern w:val="0"/>
          <w:sz w:val="24"/>
        </w:rPr>
        <w:t>）。联系人：代伟</w:t>
      </w: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闵行行政楼</w:t>
      </w:r>
      <w:r>
        <w:rPr>
          <w:rFonts w:hint="eastAsia"/>
          <w:kern w:val="0"/>
          <w:sz w:val="24"/>
        </w:rPr>
        <w:t>211</w:t>
      </w:r>
      <w:r>
        <w:rPr>
          <w:rFonts w:hint="eastAsia"/>
          <w:kern w:val="0"/>
          <w:sz w:val="24"/>
        </w:rPr>
        <w:t>办公室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电话：</w:t>
      </w:r>
      <w:r>
        <w:rPr>
          <w:rFonts w:hint="eastAsia"/>
          <w:kern w:val="0"/>
          <w:sz w:val="24"/>
        </w:rPr>
        <w:t xml:space="preserve">54531282  </w:t>
      </w:r>
      <w:r>
        <w:rPr>
          <w:rFonts w:hint="eastAsia"/>
          <w:kern w:val="0"/>
          <w:sz w:val="24"/>
        </w:rPr>
        <w:t>电子邮件：</w:t>
      </w:r>
      <w:hyperlink r:id="rId5" w:history="1">
        <w:r>
          <w:rPr>
            <w:rStyle w:val="a5"/>
            <w:rFonts w:hint="eastAsia"/>
            <w:color w:val="auto"/>
            <w:kern w:val="0"/>
            <w:sz w:val="24"/>
          </w:rPr>
          <w:t>wdai@admin.ecnu.ed</w:t>
        </w:r>
        <w:r>
          <w:rPr>
            <w:rStyle w:val="a5"/>
            <w:rFonts w:hint="eastAsia"/>
            <w:color w:val="auto"/>
            <w:kern w:val="0"/>
            <w:sz w:val="24"/>
          </w:rPr>
          <w:t>u.cn</w:t>
        </w:r>
      </w:hyperlink>
      <w:r>
        <w:rPr>
          <w:rFonts w:hint="eastAsia"/>
          <w:kern w:val="0"/>
          <w:sz w:val="24"/>
        </w:rPr>
        <w:t>。</w:t>
      </w: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附件：</w:t>
      </w:r>
    </w:p>
    <w:p w:rsidR="00000000" w:rsidRDefault="008A2583">
      <w:pPr>
        <w:numPr>
          <w:ilvl w:val="0"/>
          <w:numId w:val="1"/>
        </w:num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留学生培养方案修订意见；</w:t>
      </w:r>
    </w:p>
    <w:p w:rsidR="00000000" w:rsidRDefault="008A2583">
      <w:pPr>
        <w:numPr>
          <w:ilvl w:val="0"/>
          <w:numId w:val="1"/>
        </w:num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本科培养方案修订报告；</w:t>
      </w:r>
    </w:p>
    <w:p w:rsidR="00000000" w:rsidRDefault="008A2583">
      <w:pPr>
        <w:autoSpaceDN w:val="0"/>
        <w:spacing w:line="440" w:lineRule="exact"/>
        <w:ind w:firstLineChars="200" w:firstLine="480"/>
        <w:rPr>
          <w:rFonts w:hint="eastAsia"/>
          <w:kern w:val="0"/>
          <w:sz w:val="24"/>
        </w:rPr>
      </w:pPr>
    </w:p>
    <w:p w:rsidR="00000000" w:rsidRDefault="008A2583">
      <w:pPr>
        <w:widowControl/>
        <w:spacing w:line="440" w:lineRule="exact"/>
        <w:ind w:firstLineChars="200" w:firstLine="480"/>
        <w:jc w:val="left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                                                 </w:t>
      </w:r>
      <w:r>
        <w:rPr>
          <w:rFonts w:hint="eastAsia"/>
          <w:kern w:val="0"/>
          <w:sz w:val="24"/>
        </w:rPr>
        <w:t>华东师范大学</w:t>
      </w:r>
    </w:p>
    <w:p w:rsidR="008A2583" w:rsidRDefault="008A2583">
      <w:pPr>
        <w:widowControl/>
        <w:spacing w:line="440" w:lineRule="exact"/>
        <w:ind w:firstLineChars="200" w:firstLine="480"/>
        <w:jc w:val="left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                                               2013</w:t>
      </w:r>
      <w:r>
        <w:rPr>
          <w:rFonts w:hint="eastAsia"/>
          <w:kern w:val="0"/>
          <w:sz w:val="24"/>
        </w:rPr>
        <w:t>年</w:t>
      </w:r>
      <w:r>
        <w:rPr>
          <w:rFonts w:hint="eastAsia"/>
          <w:kern w:val="0"/>
          <w:sz w:val="24"/>
        </w:rPr>
        <w:t>3</w:t>
      </w:r>
      <w:r>
        <w:rPr>
          <w:rFonts w:hint="eastAsia"/>
          <w:kern w:val="0"/>
          <w:sz w:val="24"/>
        </w:rPr>
        <w:t>月</w:t>
      </w:r>
      <w:r>
        <w:rPr>
          <w:rFonts w:hint="eastAsia"/>
          <w:kern w:val="0"/>
          <w:sz w:val="24"/>
        </w:rPr>
        <w:t>19</w:t>
      </w:r>
      <w:r>
        <w:rPr>
          <w:rFonts w:hint="eastAsia"/>
          <w:kern w:val="0"/>
          <w:sz w:val="24"/>
        </w:rPr>
        <w:t>日</w:t>
      </w:r>
    </w:p>
    <w:sectPr w:rsidR="008A2583">
      <w:pgSz w:w="11906" w:h="16838"/>
      <w:pgMar w:top="1077" w:right="1474" w:bottom="1077" w:left="147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7774F6"/>
    <w:rsid w:val="008A2583"/>
    <w:rsid w:val="00C4278E"/>
    <w:rsid w:val="00D6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customStyle="1" w:styleId="New">
    <w:name w:val="正文 New"/>
    <w:pPr>
      <w:widowControl w:val="0"/>
      <w:jc w:val="both"/>
    </w:pPr>
    <w:rPr>
      <w:kern w:val="2"/>
      <w:sz w:val="21"/>
      <w:szCs w:val="24"/>
    </w:rPr>
  </w:style>
  <w:style w:type="paragraph" w:customStyle="1" w:styleId="Normal">
    <w:name w:val="Normal"/>
    <w:pPr>
      <w:widowControl w:val="0"/>
      <w:jc w:val="both"/>
    </w:pPr>
    <w:rPr>
      <w:kern w:val="2"/>
      <w:sz w:val="21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New0">
    <w:name w:val="页脚 New"/>
    <w:basedOn w:val="New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 Paragraph"/>
    <w:basedOn w:val="New"/>
    <w:qFormat/>
    <w:pPr>
      <w:spacing w:line="400" w:lineRule="exact"/>
      <w:ind w:left="420" w:firstLineChars="200" w:firstLine="420"/>
    </w:pPr>
    <w:rPr>
      <w:rFonts w:ascii="Calibri" w:hAnsi="Calibri"/>
      <w:szCs w:val="22"/>
    </w:rPr>
  </w:style>
  <w:style w:type="paragraph" w:customStyle="1" w:styleId="NewNewNew">
    <w:name w:val="正文 New New New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">
    <w:name w:val="正文 New New New New"/>
    <w:pPr>
      <w:widowControl w:val="0"/>
      <w:jc w:val="both"/>
    </w:pPr>
    <w:rPr>
      <w:kern w:val="2"/>
      <w:sz w:val="21"/>
    </w:rPr>
  </w:style>
  <w:style w:type="paragraph" w:customStyle="1" w:styleId="NewNew">
    <w:name w:val="正文 New New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dai@admin.ecnu.edu.cn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369</Words>
  <Characters>2104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WWW.YlmF.CoM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关于修订2013年本科培养方案的通知</dc:title>
  <dc:creator>雨林木风</dc:creator>
  <cp:lastModifiedBy>Administrator</cp:lastModifiedBy>
  <cp:revision>2</cp:revision>
  <dcterms:created xsi:type="dcterms:W3CDTF">2013-10-31T01:54:00Z</dcterms:created>
  <dcterms:modified xsi:type="dcterms:W3CDTF">2013-10-31T01:54:00Z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